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4EFD8" w14:textId="63E97508" w:rsidR="001D5835" w:rsidRPr="0052548E" w:rsidRDefault="001D5835" w:rsidP="001D583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C52933">
        <w:rPr>
          <w:rFonts w:ascii="Arial" w:hAnsi="Arial" w:cs="Arial"/>
          <w:b/>
          <w:bCs/>
          <w:sz w:val="28"/>
        </w:rPr>
        <w:t>R1-19</w:t>
      </w:r>
      <w:r w:rsidR="00C52933">
        <w:rPr>
          <w:rFonts w:ascii="Arial" w:hAnsi="Arial" w:cs="Arial"/>
          <w:b/>
          <w:bCs/>
          <w:sz w:val="28"/>
        </w:rPr>
        <w:t>02794</w:t>
      </w:r>
    </w:p>
    <w:p w14:paraId="7311FC52" w14:textId="77777777" w:rsidR="001D5835" w:rsidRPr="009513AC" w:rsidRDefault="001D5835" w:rsidP="001D5835">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1D5835"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FB840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E78BE" w:rsidRPr="00EE78BE">
        <w:rPr>
          <w:sz w:val="24"/>
          <w:lang w:val="en-US"/>
        </w:rPr>
        <w:t>Extensions of SSBs for inter-IAB-node discovery and measurements</w:t>
      </w:r>
    </w:p>
    <w:p w14:paraId="33948831" w14:textId="7C6405A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EE78BE">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47902C" w14:textId="38B591C2" w:rsidR="001D5835" w:rsidRPr="001D5835" w:rsidRDefault="001D5835" w:rsidP="001D5835">
      <w:pPr>
        <w:spacing w:afterLines="50" w:after="120"/>
        <w:jc w:val="both"/>
        <w:rPr>
          <w:rFonts w:eastAsia="ＭＳ 明朝"/>
          <w:sz w:val="22"/>
          <w:szCs w:val="22"/>
          <w:lang w:val="en-US"/>
        </w:rPr>
      </w:pPr>
      <w:r w:rsidRPr="001D5835">
        <w:rPr>
          <w:rFonts w:eastAsia="ＭＳ 明朝" w:hint="eastAsia"/>
          <w:sz w:val="22"/>
          <w:szCs w:val="22"/>
          <w:lang w:val="en-US"/>
        </w:rPr>
        <w:t>At the RAN</w:t>
      </w:r>
      <w:r w:rsidRPr="001D5835">
        <w:rPr>
          <w:rFonts w:eastAsia="ＭＳ 明朝"/>
          <w:sz w:val="22"/>
          <w:szCs w:val="22"/>
          <w:lang w:val="en-US"/>
        </w:rPr>
        <w:t>1 NR-</w:t>
      </w:r>
      <w:proofErr w:type="spellStart"/>
      <w:r w:rsidRPr="001D5835">
        <w:rPr>
          <w:rFonts w:eastAsia="ＭＳ 明朝"/>
          <w:sz w:val="22"/>
          <w:szCs w:val="22"/>
          <w:lang w:val="en-US"/>
        </w:rPr>
        <w:t>Adhoc</w:t>
      </w:r>
      <w:proofErr w:type="spellEnd"/>
      <w:r w:rsidRPr="001D5835">
        <w:rPr>
          <w:rFonts w:eastAsia="ＭＳ 明朝" w:hint="eastAsia"/>
          <w:sz w:val="22"/>
          <w:szCs w:val="22"/>
          <w:lang w:val="en-US"/>
        </w:rPr>
        <w:t xml:space="preserve"> </w:t>
      </w:r>
      <w:r w:rsidRPr="001D5835">
        <w:rPr>
          <w:rFonts w:eastAsia="ＭＳ 明朝"/>
          <w:sz w:val="22"/>
          <w:szCs w:val="22"/>
          <w:lang w:val="en-US"/>
        </w:rPr>
        <w:t xml:space="preserve">#1901 </w:t>
      </w:r>
      <w:r w:rsidRPr="001D5835">
        <w:rPr>
          <w:rFonts w:eastAsia="ＭＳ 明朝" w:hint="eastAsia"/>
          <w:sz w:val="22"/>
          <w:szCs w:val="22"/>
          <w:lang w:val="en-US"/>
        </w:rPr>
        <w:t xml:space="preserve">meeting, </w:t>
      </w:r>
      <w:r w:rsidRPr="001D5835">
        <w:rPr>
          <w:rFonts w:eastAsia="ＭＳ 明朝"/>
          <w:sz w:val="22"/>
          <w:szCs w:val="22"/>
          <w:lang w:val="en-US"/>
        </w:rPr>
        <w:t xml:space="preserve">the </w:t>
      </w:r>
      <w:r>
        <w:rPr>
          <w:rFonts w:eastAsia="ＭＳ 明朝" w:hint="eastAsia"/>
          <w:sz w:val="22"/>
          <w:szCs w:val="22"/>
          <w:lang w:val="en-US"/>
        </w:rPr>
        <w:t>extensions of SSBs for inter-IAB-node discovery and measurements</w:t>
      </w:r>
      <w:r>
        <w:rPr>
          <w:rFonts w:eastAsia="ＭＳ 明朝"/>
          <w:sz w:val="22"/>
          <w:szCs w:val="22"/>
          <w:lang w:val="en-US"/>
        </w:rPr>
        <w:t xml:space="preserve"> were</w:t>
      </w:r>
      <w:r w:rsidRPr="001D5835">
        <w:rPr>
          <w:rFonts w:eastAsia="ＭＳ 明朝"/>
          <w:sz w:val="22"/>
          <w:szCs w:val="22"/>
          <w:lang w:val="en-US"/>
        </w:rPr>
        <w:t xml:space="preserve"> discussed and following agreements were made</w:t>
      </w:r>
      <w:r w:rsidRPr="001D5835">
        <w:rPr>
          <w:rFonts w:eastAsia="ＭＳ 明朝" w:hint="eastAsia"/>
          <w:sz w:val="22"/>
          <w:szCs w:val="22"/>
          <w:lang w:val="en-US"/>
        </w:rPr>
        <w:t xml:space="preserve"> [1].</w:t>
      </w:r>
      <w:r w:rsidRPr="001D5835">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F7940D1" w14:textId="77777777" w:rsidR="001D5835" w:rsidRPr="001D5835" w:rsidRDefault="001D5835" w:rsidP="001D5835">
            <w:pPr>
              <w:rPr>
                <w:rFonts w:ascii="Times" w:eastAsia="Batang" w:hAnsi="Times"/>
                <w:b/>
                <w:sz w:val="20"/>
                <w:szCs w:val="24"/>
                <w:lang w:eastAsia="x-none"/>
              </w:rPr>
            </w:pPr>
            <w:r w:rsidRPr="001D5835">
              <w:rPr>
                <w:rFonts w:ascii="Times" w:eastAsia="Batang" w:hAnsi="Times"/>
                <w:b/>
                <w:sz w:val="20"/>
                <w:szCs w:val="24"/>
                <w:lang w:eastAsia="x-none"/>
              </w:rPr>
              <w:t>R1-1901369</w:t>
            </w:r>
          </w:p>
          <w:p w14:paraId="19B887A5" w14:textId="77777777" w:rsidR="001D5835" w:rsidRPr="001D5835" w:rsidRDefault="001D5835" w:rsidP="001D5835">
            <w:pPr>
              <w:rPr>
                <w:rFonts w:ascii="Times" w:eastAsia="Batang" w:hAnsi="Times"/>
                <w:sz w:val="20"/>
                <w:lang w:eastAsia="x-none"/>
              </w:rPr>
            </w:pPr>
            <w:r w:rsidRPr="001D5835">
              <w:rPr>
                <w:rFonts w:ascii="Times" w:eastAsia="Batang" w:hAnsi="Times"/>
                <w:sz w:val="20"/>
                <w:highlight w:val="green"/>
                <w:lang w:eastAsia="x-none"/>
              </w:rPr>
              <w:t>Agreements</w:t>
            </w:r>
            <w:r w:rsidRPr="001D5835">
              <w:rPr>
                <w:rFonts w:ascii="Times" w:eastAsia="Batang" w:hAnsi="Times"/>
                <w:sz w:val="20"/>
                <w:lang w:eastAsia="x-none"/>
              </w:rPr>
              <w:t>:</w:t>
            </w:r>
          </w:p>
          <w:p w14:paraId="573876C5" w14:textId="77777777" w:rsidR="001D5835" w:rsidRPr="001D5835" w:rsidRDefault="001D5835" w:rsidP="001D5835">
            <w:pPr>
              <w:numPr>
                <w:ilvl w:val="0"/>
                <w:numId w:val="9"/>
              </w:numPr>
              <w:rPr>
                <w:rFonts w:ascii="Times" w:eastAsia="Batang" w:hAnsi="Times"/>
                <w:sz w:val="20"/>
                <w:lang w:eastAsia="en-US"/>
              </w:rPr>
            </w:pPr>
            <w:r w:rsidRPr="001D5835">
              <w:rPr>
                <w:rFonts w:ascii="Times" w:eastAsia="Batang" w:hAnsi="Times"/>
                <w:sz w:val="20"/>
                <w:lang w:eastAsia="en-US"/>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2C313564" w14:textId="77777777" w:rsidR="001D5835" w:rsidRPr="001D5835" w:rsidRDefault="001D5835" w:rsidP="001D5835">
            <w:pPr>
              <w:numPr>
                <w:ilvl w:val="0"/>
                <w:numId w:val="9"/>
              </w:numPr>
              <w:rPr>
                <w:rFonts w:ascii="Times" w:eastAsia="Batang" w:hAnsi="Times"/>
                <w:sz w:val="20"/>
                <w:lang w:eastAsia="en-US"/>
              </w:rPr>
            </w:pPr>
            <w:r w:rsidRPr="001D5835">
              <w:rPr>
                <w:rFonts w:ascii="Times" w:eastAsia="Batang" w:hAnsi="Times"/>
                <w:sz w:val="20"/>
                <w:lang w:eastAsia="en-US"/>
              </w:rPr>
              <w:t>An IAB node is provided with configuration of SSB transmission and reception information for IAB inter-node measurements.</w:t>
            </w:r>
          </w:p>
          <w:p w14:paraId="607EE953" w14:textId="7A540FB9" w:rsidR="00764120" w:rsidRPr="001D5835" w:rsidRDefault="001D5835" w:rsidP="001D5835">
            <w:pPr>
              <w:numPr>
                <w:ilvl w:val="1"/>
                <w:numId w:val="9"/>
              </w:numPr>
              <w:rPr>
                <w:rFonts w:ascii="Times" w:eastAsia="Batang" w:hAnsi="Times"/>
                <w:sz w:val="20"/>
                <w:lang w:eastAsia="x-none"/>
              </w:rPr>
            </w:pPr>
            <w:r w:rsidRPr="001D5835">
              <w:rPr>
                <w:rFonts w:ascii="Times" w:eastAsia="Batang" w:hAnsi="Times"/>
                <w:sz w:val="20"/>
                <w:lang w:eastAsia="en-US"/>
              </w:rPr>
              <w:t xml:space="preserve">FFS details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46C3FA17"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D5835">
        <w:rPr>
          <w:rFonts w:eastAsia="ＭＳ 明朝"/>
          <w:sz w:val="22"/>
          <w:szCs w:val="22"/>
          <w:lang w:val="en-US"/>
        </w:rPr>
        <w:t xml:space="preserve">details </w:t>
      </w:r>
      <w:r w:rsidR="00764120">
        <w:rPr>
          <w:rFonts w:eastAsia="ＭＳ 明朝"/>
          <w:sz w:val="22"/>
          <w:szCs w:val="22"/>
          <w:lang w:val="en-US"/>
        </w:rPr>
        <w:t xml:space="preserve">on the </w:t>
      </w:r>
      <w:r w:rsidR="00EE78BE">
        <w:rPr>
          <w:rFonts w:eastAsia="ＭＳ 明朝"/>
          <w:sz w:val="22"/>
          <w:szCs w:val="22"/>
          <w:lang w:val="en-US"/>
        </w:rPr>
        <w:t>e</w:t>
      </w:r>
      <w:r w:rsidR="00EE78BE" w:rsidRPr="00EE78BE">
        <w:rPr>
          <w:rFonts w:eastAsia="ＭＳ 明朝"/>
          <w:sz w:val="22"/>
          <w:szCs w:val="22"/>
          <w:lang w:val="en-US"/>
        </w:rPr>
        <w:t>xtensions of SSBs for inter-IAB-node discovery and measurements</w:t>
      </w:r>
      <w:r w:rsidR="001D5835">
        <w:rPr>
          <w:rFonts w:eastAsia="ＭＳ 明朝"/>
          <w:sz w:val="22"/>
          <w:szCs w:val="22"/>
          <w:lang w:val="en-US"/>
        </w:rPr>
        <w:t>, including SSB transmission configuration information and SSB reception configuration information</w:t>
      </w:r>
      <w:r w:rsidR="001012F3" w:rsidRPr="001012F3">
        <w:rPr>
          <w:rFonts w:eastAsia="ＭＳ 明朝" w:hint="eastAsia"/>
          <w:sz w:val="22"/>
          <w:szCs w:val="22"/>
          <w:lang w:val="en-US"/>
        </w:rPr>
        <w:t xml:space="preserve">. </w:t>
      </w:r>
    </w:p>
    <w:p w14:paraId="0DDCE2F2" w14:textId="7AE157D4" w:rsidR="009517C5" w:rsidRPr="009517C5" w:rsidRDefault="00101A83" w:rsidP="00EE78B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E78BE">
        <w:rPr>
          <w:rFonts w:eastAsia="ＭＳ 明朝"/>
          <w:b/>
          <w:bCs/>
          <w:szCs w:val="24"/>
          <w:lang w:val="en-US"/>
        </w:rPr>
        <w:t>e</w:t>
      </w:r>
      <w:r w:rsidR="00EE78BE" w:rsidRPr="00EE78BE">
        <w:rPr>
          <w:rFonts w:eastAsia="ＭＳ 明朝"/>
          <w:b/>
          <w:bCs/>
          <w:szCs w:val="24"/>
          <w:lang w:val="en-US"/>
        </w:rPr>
        <w:t>xtensions of SSBs for inter-IAB-node discovery and measurements</w:t>
      </w:r>
    </w:p>
    <w:p w14:paraId="4632555E" w14:textId="00F7CDC5" w:rsidR="00BB00D9" w:rsidRDefault="00BB00D9" w:rsidP="00C517C8">
      <w:pPr>
        <w:spacing w:afterLines="50" w:after="120"/>
        <w:rPr>
          <w:sz w:val="22"/>
          <w:szCs w:val="22"/>
          <w:lang w:val="en-US"/>
        </w:rPr>
      </w:pPr>
      <w:r>
        <w:rPr>
          <w:sz w:val="22"/>
          <w:szCs w:val="22"/>
          <w:lang w:val="en-US"/>
        </w:rPr>
        <w:t xml:space="preserve">During the IAB SI, </w:t>
      </w:r>
      <w:r w:rsidR="00EE78BE">
        <w:rPr>
          <w:sz w:val="22"/>
          <w:szCs w:val="22"/>
          <w:lang w:val="en-US"/>
        </w:rPr>
        <w:t>inter-</w:t>
      </w:r>
      <w:r>
        <w:rPr>
          <w:sz w:val="22"/>
          <w:szCs w:val="22"/>
          <w:lang w:val="en-US"/>
        </w:rPr>
        <w:t xml:space="preserve">IAB-node </w:t>
      </w:r>
      <w:r w:rsidR="00EE78BE">
        <w:rPr>
          <w:sz w:val="22"/>
          <w:szCs w:val="22"/>
          <w:lang w:val="en-US"/>
        </w:rPr>
        <w:t>discovery and measurement</w:t>
      </w:r>
      <w:r>
        <w:rPr>
          <w:sz w:val="22"/>
          <w:szCs w:val="22"/>
          <w:lang w:val="en-US"/>
        </w:rPr>
        <w:t xml:space="preserve"> (Stage</w:t>
      </w:r>
      <w:r w:rsidR="00EE78BE">
        <w:rPr>
          <w:sz w:val="22"/>
          <w:szCs w:val="22"/>
          <w:lang w:val="en-US"/>
        </w:rPr>
        <w:t xml:space="preserve"> 2</w:t>
      </w:r>
      <w:r>
        <w:rPr>
          <w:sz w:val="22"/>
          <w:szCs w:val="22"/>
          <w:lang w:val="en-US"/>
        </w:rPr>
        <w:t>) had been di</w:t>
      </w:r>
      <w:r w:rsidR="00EE78BE">
        <w:rPr>
          <w:sz w:val="22"/>
          <w:szCs w:val="22"/>
          <w:lang w:val="en-US"/>
        </w:rPr>
        <w:t>scussed and following SSB-based solutions</w:t>
      </w:r>
      <w:r>
        <w:rPr>
          <w:sz w:val="22"/>
          <w:szCs w:val="22"/>
          <w:lang w:val="en-US"/>
        </w:rPr>
        <w:t xml:space="preserve"> </w:t>
      </w:r>
      <w:r w:rsidR="00EE78BE">
        <w:rPr>
          <w:sz w:val="22"/>
          <w:szCs w:val="22"/>
          <w:lang w:val="en-US"/>
        </w:rPr>
        <w:t>were identified as</w:t>
      </w:r>
      <w:r>
        <w:rPr>
          <w:sz w:val="22"/>
          <w:szCs w:val="22"/>
          <w:lang w:val="en-US"/>
        </w:rPr>
        <w:t xml:space="preserve"> captured in the TR38.874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00DA5F5C" w14:textId="77777777" w:rsidR="00EE78BE" w:rsidRPr="00EE78BE" w:rsidRDefault="00EE78BE" w:rsidP="00EE78BE">
            <w:pPr>
              <w:spacing w:before="60" w:after="60" w:line="288" w:lineRule="auto"/>
              <w:jc w:val="both"/>
              <w:rPr>
                <w:rFonts w:eastAsia="Malgun Gothic"/>
                <w:b/>
                <w:sz w:val="20"/>
                <w:u w:val="single"/>
                <w:lang w:eastAsia="ko-KR"/>
              </w:rPr>
            </w:pPr>
            <w:r w:rsidRPr="00EE78BE">
              <w:rPr>
                <w:rFonts w:eastAsia="Malgun Gothic"/>
                <w:b/>
                <w:sz w:val="20"/>
                <w:u w:val="single"/>
                <w:lang w:eastAsia="ko-KR"/>
              </w:rPr>
              <w:t>SSB-based solutions (Solution 1-A and 1-B):</w:t>
            </w:r>
          </w:p>
          <w:p w14:paraId="54890BCF" w14:textId="77777777" w:rsidR="00EE78BE"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Solution 1-A) Reusing the same set of SSBs used for access UEs</w:t>
            </w:r>
            <w:r w:rsidRPr="00EE78BE">
              <w:rPr>
                <w:rFonts w:eastAsia="Malgun Gothic" w:hint="eastAsia"/>
                <w:sz w:val="20"/>
                <w:lang w:val="x-none" w:eastAsia="ko-KR"/>
              </w:rPr>
              <w:t>:</w:t>
            </w:r>
          </w:p>
          <w:p w14:paraId="2896F7AB" w14:textId="77777777" w:rsidR="00EE78BE" w:rsidRPr="00EE78BE" w:rsidRDefault="00EE78BE" w:rsidP="00EE78BE">
            <w:pPr>
              <w:ind w:left="851"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In this case, the SSBs for inter-IAB cell search in stage 2 are on the currently defined sync raster for a SA frequency layer, while for a NSA frequency layer the SSBs are transmitted inside of the SMTC configured for access UEs.</w:t>
            </w:r>
          </w:p>
          <w:p w14:paraId="42A8168A" w14:textId="77777777" w:rsidR="00EE78BE"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Solution 1-B) Use of SSBs which are orthogonal (TDM and/or FDM) with SSBs used for access UEs</w:t>
            </w:r>
            <w:r w:rsidRPr="00EE78BE">
              <w:rPr>
                <w:rFonts w:eastAsia="Malgun Gothic" w:hint="eastAsia"/>
                <w:sz w:val="20"/>
                <w:lang w:val="x-none" w:eastAsia="ko-KR"/>
              </w:rPr>
              <w:t>:</w:t>
            </w:r>
          </w:p>
          <w:p w14:paraId="4575878C" w14:textId="77777777" w:rsidR="00EE78BE" w:rsidRPr="00EE78BE" w:rsidRDefault="00EE78BE" w:rsidP="00EE78BE">
            <w:pPr>
              <w:ind w:left="851"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48DDD06A" w14:textId="77777777" w:rsidR="00EE78BE" w:rsidRPr="00EE78BE" w:rsidRDefault="00EE78BE" w:rsidP="00EE78BE">
            <w:pPr>
              <w:rPr>
                <w:rFonts w:eastAsia="Times New Roman"/>
                <w:sz w:val="20"/>
              </w:rPr>
            </w:pPr>
            <w:r w:rsidRPr="00EE78BE">
              <w:rPr>
                <w:rFonts w:eastAsia="Times New Roman"/>
                <w:sz w:val="20"/>
              </w:rPr>
              <w:t>An IAB-node should not mute its own SSB transmissions targeting UE cell search and measurement when doing inter-IAB cell search in stage 2</w:t>
            </w:r>
            <w:r w:rsidRPr="00EE78BE">
              <w:rPr>
                <w:rFonts w:eastAsia="Malgun Gothic" w:hint="eastAsia"/>
                <w:sz w:val="20"/>
                <w:lang w:eastAsia="ko-KR"/>
              </w:rPr>
              <w:t>:</w:t>
            </w:r>
          </w:p>
          <w:p w14:paraId="00914216" w14:textId="77777777" w:rsidR="00EE78BE"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For SA, this means that SSBs transmitted on the currently defined sync raster follow the currently defined periodicity for initial access</w:t>
            </w:r>
            <w:r w:rsidRPr="00EE78BE">
              <w:rPr>
                <w:rFonts w:eastAsia="Malgun Gothic" w:hint="eastAsia"/>
                <w:sz w:val="20"/>
                <w:lang w:val="x-none" w:eastAsia="ko-KR"/>
              </w:rPr>
              <w:t>;</w:t>
            </w:r>
          </w:p>
          <w:p w14:paraId="33F3F970" w14:textId="2F0913C1" w:rsidR="00BB00D9"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In case of Solution 1-B, this implies SSBs, that may get muted, for inter-IAB stage 2 cell search is at least TDM with SSBs used for UE cell search and measurements.</w:t>
            </w:r>
          </w:p>
        </w:tc>
      </w:tr>
    </w:tbl>
    <w:p w14:paraId="7D04C7EE" w14:textId="3232160E" w:rsidR="00BB00D9" w:rsidRDefault="00BB00D9" w:rsidP="00C517C8">
      <w:pPr>
        <w:spacing w:afterLines="50" w:after="120"/>
        <w:rPr>
          <w:sz w:val="22"/>
          <w:szCs w:val="22"/>
          <w:lang w:val="en-US"/>
        </w:rPr>
      </w:pPr>
    </w:p>
    <w:p w14:paraId="1336669C" w14:textId="5F9911A8" w:rsidR="00DD7C51" w:rsidRDefault="006A18D1" w:rsidP="00C517C8">
      <w:pPr>
        <w:spacing w:afterLines="50" w:after="120"/>
        <w:rPr>
          <w:sz w:val="22"/>
          <w:szCs w:val="22"/>
          <w:lang w:val="en-US"/>
        </w:rPr>
      </w:pPr>
      <w:r>
        <w:rPr>
          <w:rFonts w:hint="eastAsia"/>
          <w:sz w:val="22"/>
          <w:szCs w:val="22"/>
          <w:lang w:val="en-US"/>
        </w:rPr>
        <w:t xml:space="preserve">Assuming the half duplex constraint at every IAB-node, </w:t>
      </w:r>
      <w:r>
        <w:rPr>
          <w:sz w:val="22"/>
          <w:szCs w:val="22"/>
          <w:lang w:val="en-US"/>
        </w:rPr>
        <w:t xml:space="preserve">SSB transmission and reception cannot be performed simultaneously on a carrier. </w:t>
      </w:r>
      <w:r w:rsidR="00DD7C51">
        <w:rPr>
          <w:sz w:val="22"/>
          <w:szCs w:val="22"/>
          <w:lang w:val="en-US"/>
        </w:rPr>
        <w:t>In terms of access UE’s SSB measurement procedure, SSB transmission timings of surrounding IAB-nodes should be confined within SMTC window of maximum 5ms duration</w:t>
      </w:r>
      <w:r w:rsidR="005D13AD">
        <w:rPr>
          <w:sz w:val="22"/>
          <w:szCs w:val="22"/>
          <w:lang w:val="en-US"/>
        </w:rPr>
        <w:t>, and it would be better that SSB transmissions across nodes are aligned so that SMTC window can be as short as possible</w:t>
      </w:r>
      <w:r w:rsidR="00DD7C51">
        <w:rPr>
          <w:sz w:val="22"/>
          <w:szCs w:val="22"/>
          <w:lang w:val="en-US"/>
        </w:rPr>
        <w:t xml:space="preserve">. Therefore, </w:t>
      </w:r>
      <w:r w:rsidR="00361C29">
        <w:rPr>
          <w:sz w:val="22"/>
          <w:szCs w:val="22"/>
          <w:lang w:val="en-US"/>
        </w:rPr>
        <w:t xml:space="preserve">each IAB-node would have two </w:t>
      </w:r>
      <w:r w:rsidR="00E47093">
        <w:rPr>
          <w:sz w:val="22"/>
          <w:szCs w:val="22"/>
          <w:lang w:val="en-US"/>
        </w:rPr>
        <w:t xml:space="preserve">periodic </w:t>
      </w:r>
      <w:r w:rsidR="00361C29">
        <w:rPr>
          <w:sz w:val="22"/>
          <w:szCs w:val="22"/>
          <w:lang w:val="en-US"/>
        </w:rPr>
        <w:t>SSB transmission timings as shown in Figure 1; one is for access UEs and it is aligned across IAB-nodes, and another is for inter-IAB-node discovery/measurement and it is TDM across IAB-nodes.</w:t>
      </w:r>
      <w:r w:rsidR="005D13AD">
        <w:rPr>
          <w:sz w:val="22"/>
          <w:szCs w:val="22"/>
          <w:lang w:val="en-US"/>
        </w:rPr>
        <w:t xml:space="preserve"> As shown in the figure, SSB transmission periodicity can be different between SSBs for access UEs and SSBs for inter-IAB-node discovery/measurement since different mobility could be assumed.</w:t>
      </w:r>
    </w:p>
    <w:p w14:paraId="3151BCAC" w14:textId="77777777" w:rsidR="00E32AB5" w:rsidRDefault="00E32AB5" w:rsidP="00C517C8">
      <w:pPr>
        <w:spacing w:afterLines="50" w:after="120"/>
        <w:rPr>
          <w:sz w:val="22"/>
          <w:szCs w:val="22"/>
          <w:lang w:val="en-US"/>
        </w:rPr>
      </w:pPr>
    </w:p>
    <w:p w14:paraId="68DB44AA" w14:textId="05424645" w:rsidR="00361C29" w:rsidRDefault="001D5835" w:rsidP="00C517C8">
      <w:pPr>
        <w:spacing w:afterLines="50" w:after="120"/>
        <w:rPr>
          <w:sz w:val="22"/>
          <w:szCs w:val="22"/>
          <w:lang w:val="en-US"/>
        </w:rPr>
      </w:pPr>
      <w:r>
        <w:rPr>
          <w:noProof/>
          <w:sz w:val="22"/>
          <w:szCs w:val="22"/>
          <w:lang w:val="en-US"/>
        </w:rPr>
        <w:drawing>
          <wp:inline distT="0" distB="0" distL="0" distR="0" wp14:anchorId="5A8E74DF" wp14:editId="18372504">
            <wp:extent cx="6332220" cy="3073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073400"/>
                    </a:xfrm>
                    <a:prstGeom prst="rect">
                      <a:avLst/>
                    </a:prstGeom>
                  </pic:spPr>
                </pic:pic>
              </a:graphicData>
            </a:graphic>
          </wp:inline>
        </w:drawing>
      </w:r>
    </w:p>
    <w:p w14:paraId="50C54A67" w14:textId="5ACD8957" w:rsidR="00DD7C51" w:rsidRPr="00361C29" w:rsidRDefault="005D13AD" w:rsidP="005D13AD">
      <w:pPr>
        <w:spacing w:afterLines="50" w:after="120"/>
        <w:jc w:val="center"/>
        <w:rPr>
          <w:sz w:val="22"/>
          <w:szCs w:val="22"/>
          <w:lang w:val="en-US"/>
        </w:rPr>
      </w:pPr>
      <w:r>
        <w:rPr>
          <w:rFonts w:hint="eastAsia"/>
          <w:sz w:val="22"/>
          <w:szCs w:val="22"/>
          <w:lang w:val="en-US"/>
        </w:rPr>
        <w:t xml:space="preserve">Figure 1: Examples of SSB transmission </w:t>
      </w:r>
      <w:r>
        <w:rPr>
          <w:sz w:val="22"/>
          <w:szCs w:val="22"/>
          <w:lang w:val="en-US"/>
        </w:rPr>
        <w:t xml:space="preserve">timing </w:t>
      </w:r>
      <w:r>
        <w:rPr>
          <w:rFonts w:hint="eastAsia"/>
          <w:sz w:val="22"/>
          <w:szCs w:val="22"/>
          <w:lang w:val="en-US"/>
        </w:rPr>
        <w:t>configuration</w:t>
      </w:r>
      <w:r>
        <w:rPr>
          <w:sz w:val="22"/>
          <w:szCs w:val="22"/>
          <w:lang w:val="en-US"/>
        </w:rPr>
        <w:t>s across IAB nodes</w:t>
      </w:r>
    </w:p>
    <w:p w14:paraId="5B6400E8" w14:textId="77777777" w:rsidR="00DD7C51" w:rsidRPr="005D13AD" w:rsidRDefault="00DD7C51" w:rsidP="00C517C8">
      <w:pPr>
        <w:spacing w:afterLines="50" w:after="120"/>
        <w:rPr>
          <w:sz w:val="22"/>
          <w:szCs w:val="22"/>
          <w:lang w:val="en-US"/>
        </w:rPr>
      </w:pPr>
    </w:p>
    <w:p w14:paraId="4684D760" w14:textId="16F80097" w:rsidR="00EE78BE" w:rsidRDefault="006A18D1" w:rsidP="00C517C8">
      <w:pPr>
        <w:spacing w:afterLines="50" w:after="120"/>
        <w:rPr>
          <w:sz w:val="22"/>
          <w:szCs w:val="22"/>
          <w:lang w:val="en-US"/>
        </w:rPr>
      </w:pPr>
      <w:r>
        <w:rPr>
          <w:sz w:val="22"/>
          <w:szCs w:val="22"/>
          <w:lang w:val="en-US"/>
        </w:rPr>
        <w:t>IAB-node DU transmits SSBs for access UEs and probably another set of SSBs for inter-IAB-node discovery and measurement, and IAB-node MT measures SSBs from current parent node/donor and surrounding nodes/donors.</w:t>
      </w:r>
      <w:r w:rsidR="005D13AD">
        <w:rPr>
          <w:sz w:val="22"/>
          <w:szCs w:val="22"/>
          <w:lang w:val="en-US"/>
        </w:rPr>
        <w:t xml:space="preserve"> Therefore, we consider that following configurations need to be provided </w:t>
      </w:r>
      <w:r w:rsidR="00A4743C">
        <w:rPr>
          <w:sz w:val="22"/>
          <w:szCs w:val="22"/>
          <w:lang w:val="en-US"/>
        </w:rPr>
        <w:t>for IAB-node DU/MT from parent node/donor or CU.</w:t>
      </w:r>
    </w:p>
    <w:p w14:paraId="59179510" w14:textId="1562ABC1" w:rsidR="00A4743C" w:rsidRDefault="00A4743C" w:rsidP="00A4743C">
      <w:pPr>
        <w:pStyle w:val="afc"/>
        <w:numPr>
          <w:ilvl w:val="0"/>
          <w:numId w:val="7"/>
        </w:numPr>
        <w:spacing w:afterLines="50" w:after="120"/>
        <w:ind w:leftChars="0"/>
        <w:rPr>
          <w:sz w:val="22"/>
          <w:szCs w:val="22"/>
          <w:lang w:val="en-US"/>
        </w:rPr>
      </w:pPr>
      <w:r>
        <w:rPr>
          <w:rFonts w:hint="eastAsia"/>
          <w:sz w:val="22"/>
          <w:szCs w:val="22"/>
          <w:lang w:val="en-US"/>
        </w:rPr>
        <w:t>For IAB-node DU</w:t>
      </w:r>
    </w:p>
    <w:p w14:paraId="0563D658" w14:textId="4E760F44" w:rsidR="00A4743C" w:rsidRDefault="00A03B07" w:rsidP="00A4743C">
      <w:pPr>
        <w:pStyle w:val="afc"/>
        <w:numPr>
          <w:ilvl w:val="1"/>
          <w:numId w:val="7"/>
        </w:numPr>
        <w:spacing w:afterLines="50" w:after="120"/>
        <w:ind w:leftChars="0"/>
        <w:rPr>
          <w:sz w:val="22"/>
          <w:szCs w:val="22"/>
          <w:lang w:val="en-US"/>
        </w:rPr>
      </w:pPr>
      <w:r>
        <w:rPr>
          <w:sz w:val="22"/>
          <w:szCs w:val="22"/>
          <w:lang w:val="en-US"/>
        </w:rPr>
        <w:t xml:space="preserve">SSB transmission timing </w:t>
      </w:r>
      <w:r w:rsidR="00A4743C">
        <w:rPr>
          <w:sz w:val="22"/>
          <w:szCs w:val="22"/>
          <w:lang w:val="en-US"/>
        </w:rPr>
        <w:t xml:space="preserve">configuration regarding SSBs for access UEs </w:t>
      </w:r>
      <w:r w:rsidR="00126859">
        <w:rPr>
          <w:sz w:val="22"/>
          <w:szCs w:val="22"/>
          <w:lang w:val="en-US"/>
        </w:rPr>
        <w:t>(</w:t>
      </w:r>
      <w:r>
        <w:rPr>
          <w:sz w:val="22"/>
          <w:szCs w:val="22"/>
          <w:lang w:val="en-US"/>
        </w:rPr>
        <w:t>STT</w:t>
      </w:r>
      <w:r w:rsidR="00126859">
        <w:rPr>
          <w:sz w:val="22"/>
          <w:szCs w:val="22"/>
          <w:lang w:val="en-US"/>
        </w:rPr>
        <w:t xml:space="preserve">C for access UE) </w:t>
      </w:r>
      <w:r w:rsidR="00A4743C">
        <w:rPr>
          <w:sz w:val="22"/>
          <w:szCs w:val="22"/>
          <w:lang w:val="en-US"/>
        </w:rPr>
        <w:t>is provided so that SSB transmission timings across IAB-nodes can be aligned (at least confined within UE’s SMTC window).</w:t>
      </w:r>
    </w:p>
    <w:p w14:paraId="7A20C8FE" w14:textId="6C8A17F4" w:rsidR="00A4743C" w:rsidRDefault="00A4743C" w:rsidP="00A4743C">
      <w:pPr>
        <w:pStyle w:val="afc"/>
        <w:numPr>
          <w:ilvl w:val="1"/>
          <w:numId w:val="7"/>
        </w:numPr>
        <w:spacing w:afterLines="50" w:after="120"/>
        <w:ind w:leftChars="0"/>
        <w:rPr>
          <w:sz w:val="22"/>
          <w:szCs w:val="22"/>
          <w:lang w:val="en-US"/>
        </w:rPr>
      </w:pPr>
      <w:r>
        <w:rPr>
          <w:sz w:val="22"/>
          <w:szCs w:val="22"/>
          <w:lang w:val="en-US"/>
        </w:rPr>
        <w:t xml:space="preserve">SSB transmission timing configuration regarding SSBs for inter-IAB-node discovery and measurement </w:t>
      </w:r>
      <w:r w:rsidR="00126859">
        <w:rPr>
          <w:sz w:val="22"/>
          <w:szCs w:val="22"/>
          <w:lang w:val="en-US"/>
        </w:rPr>
        <w:t xml:space="preserve">(STTC for inter-IAB-node discovery) </w:t>
      </w:r>
      <w:r>
        <w:rPr>
          <w:sz w:val="22"/>
          <w:szCs w:val="22"/>
          <w:lang w:val="en-US"/>
        </w:rPr>
        <w:t xml:space="preserve">is provided so that SSB transmission timings across IAB-nodes can be </w:t>
      </w:r>
      <w:proofErr w:type="spellStart"/>
      <w:r>
        <w:rPr>
          <w:sz w:val="22"/>
          <w:szCs w:val="22"/>
          <w:lang w:val="en-US"/>
        </w:rPr>
        <w:t>TDMed</w:t>
      </w:r>
      <w:proofErr w:type="spellEnd"/>
      <w:r>
        <w:rPr>
          <w:sz w:val="22"/>
          <w:szCs w:val="22"/>
          <w:lang w:val="en-US"/>
        </w:rPr>
        <w:t>.</w:t>
      </w:r>
    </w:p>
    <w:p w14:paraId="08C5C9E7" w14:textId="75AB450E" w:rsidR="00872735" w:rsidRDefault="00872735" w:rsidP="00872735">
      <w:pPr>
        <w:pStyle w:val="afc"/>
        <w:numPr>
          <w:ilvl w:val="2"/>
          <w:numId w:val="7"/>
        </w:numPr>
        <w:spacing w:afterLines="50" w:after="120"/>
        <w:ind w:leftChars="0"/>
        <w:rPr>
          <w:sz w:val="22"/>
          <w:szCs w:val="22"/>
          <w:lang w:val="en-US"/>
        </w:rPr>
      </w:pPr>
      <w:r>
        <w:rPr>
          <w:sz w:val="22"/>
          <w:szCs w:val="22"/>
          <w:lang w:val="en-US"/>
        </w:rPr>
        <w:t>This STTC for inter-IAB-node discovery would be provided only for IAB-node supporting parent node functionalities and when Solution 1-B is used.</w:t>
      </w:r>
    </w:p>
    <w:p w14:paraId="0C213A3C" w14:textId="1E5FB7F5" w:rsidR="00A4743C" w:rsidRDefault="00A03B07" w:rsidP="00A4743C">
      <w:pPr>
        <w:pStyle w:val="afc"/>
        <w:numPr>
          <w:ilvl w:val="1"/>
          <w:numId w:val="7"/>
        </w:numPr>
        <w:spacing w:afterLines="50" w:after="120"/>
        <w:ind w:leftChars="0"/>
        <w:rPr>
          <w:sz w:val="22"/>
          <w:szCs w:val="22"/>
          <w:lang w:val="en-US"/>
        </w:rPr>
      </w:pPr>
      <w:r>
        <w:rPr>
          <w:sz w:val="22"/>
          <w:szCs w:val="22"/>
          <w:lang w:val="en-US"/>
        </w:rPr>
        <w:t>Above two STTCs</w:t>
      </w:r>
      <w:r w:rsidR="00A4743C">
        <w:rPr>
          <w:sz w:val="22"/>
          <w:szCs w:val="22"/>
          <w:lang w:val="en-US"/>
        </w:rPr>
        <w:t xml:space="preserve"> can have same or different periodicity</w:t>
      </w:r>
      <w:r w:rsidR="009A5F32">
        <w:rPr>
          <w:sz w:val="22"/>
          <w:szCs w:val="22"/>
          <w:lang w:val="en-US"/>
        </w:rPr>
        <w:t xml:space="preserve"> and/or offset</w:t>
      </w:r>
      <w:r w:rsidR="00A4743C">
        <w:rPr>
          <w:sz w:val="22"/>
          <w:szCs w:val="22"/>
          <w:lang w:val="en-US"/>
        </w:rPr>
        <w:t>.</w:t>
      </w:r>
      <w:r>
        <w:rPr>
          <w:sz w:val="22"/>
          <w:szCs w:val="22"/>
          <w:lang w:val="en-US"/>
        </w:rPr>
        <w:t xml:space="preserve"> In addition, above two STTCs can have</w:t>
      </w:r>
      <w:r w:rsidR="0072472B">
        <w:rPr>
          <w:sz w:val="22"/>
          <w:szCs w:val="22"/>
          <w:lang w:val="en-US"/>
        </w:rPr>
        <w:t xml:space="preserve"> same or</w:t>
      </w:r>
      <w:r>
        <w:rPr>
          <w:sz w:val="22"/>
          <w:szCs w:val="22"/>
          <w:lang w:val="en-US"/>
        </w:rPr>
        <w:t xml:space="preserve"> different SSB frequency.</w:t>
      </w:r>
    </w:p>
    <w:p w14:paraId="6F637151" w14:textId="4CA4C5CC" w:rsidR="00A4743C" w:rsidRDefault="00A4743C" w:rsidP="00A4743C">
      <w:pPr>
        <w:pStyle w:val="afc"/>
        <w:numPr>
          <w:ilvl w:val="1"/>
          <w:numId w:val="7"/>
        </w:numPr>
        <w:spacing w:afterLines="50" w:after="120"/>
        <w:ind w:leftChars="0"/>
        <w:rPr>
          <w:sz w:val="22"/>
          <w:szCs w:val="22"/>
          <w:lang w:val="en-US"/>
        </w:rPr>
      </w:pPr>
      <w:r>
        <w:rPr>
          <w:sz w:val="22"/>
          <w:szCs w:val="22"/>
          <w:lang w:val="en-US"/>
        </w:rPr>
        <w:t xml:space="preserve">SSB index to be used for actual transmission can also be provided </w:t>
      </w:r>
      <w:r w:rsidR="0072472B">
        <w:rPr>
          <w:sz w:val="22"/>
          <w:szCs w:val="22"/>
          <w:lang w:val="en-US"/>
        </w:rPr>
        <w:t xml:space="preserve">separately in each STTC </w:t>
      </w:r>
      <w:r>
        <w:rPr>
          <w:sz w:val="22"/>
          <w:szCs w:val="22"/>
          <w:lang w:val="en-US"/>
        </w:rPr>
        <w:t>according to the IAB-node DU capability on number of SSB transmissions.</w:t>
      </w:r>
    </w:p>
    <w:p w14:paraId="3E2C6E55" w14:textId="26317821" w:rsidR="00A4743C" w:rsidRDefault="00A4743C" w:rsidP="00A4743C">
      <w:pPr>
        <w:pStyle w:val="afc"/>
        <w:numPr>
          <w:ilvl w:val="0"/>
          <w:numId w:val="7"/>
        </w:numPr>
        <w:spacing w:afterLines="50" w:after="120"/>
        <w:ind w:leftChars="0"/>
        <w:rPr>
          <w:sz w:val="22"/>
          <w:szCs w:val="22"/>
          <w:lang w:val="en-US"/>
        </w:rPr>
      </w:pPr>
      <w:r>
        <w:rPr>
          <w:sz w:val="22"/>
          <w:szCs w:val="22"/>
          <w:lang w:val="en-US"/>
        </w:rPr>
        <w:lastRenderedPageBreak/>
        <w:t>For IAB node MT</w:t>
      </w:r>
    </w:p>
    <w:p w14:paraId="52DA3F7C" w14:textId="61DC8519" w:rsidR="00A4743C" w:rsidRDefault="00126859" w:rsidP="00A4743C">
      <w:pPr>
        <w:pStyle w:val="afc"/>
        <w:numPr>
          <w:ilvl w:val="1"/>
          <w:numId w:val="7"/>
        </w:numPr>
        <w:spacing w:afterLines="50" w:after="120"/>
        <w:ind w:leftChars="0"/>
        <w:rPr>
          <w:sz w:val="22"/>
          <w:szCs w:val="22"/>
          <w:lang w:val="en-US"/>
        </w:rPr>
      </w:pPr>
      <w:r>
        <w:rPr>
          <w:sz w:val="22"/>
          <w:szCs w:val="22"/>
          <w:lang w:val="en-US"/>
        </w:rPr>
        <w:t>One or multiple SSB measurement timing configurations for inter-IAB-node discovery and measurement (SMTC for inter-IAB-node discovery) can be provided.</w:t>
      </w:r>
    </w:p>
    <w:p w14:paraId="63EAEAAB" w14:textId="01EFC977" w:rsidR="009A5F32" w:rsidRDefault="009A5F32" w:rsidP="00A4743C">
      <w:pPr>
        <w:pStyle w:val="afc"/>
        <w:numPr>
          <w:ilvl w:val="1"/>
          <w:numId w:val="7"/>
        </w:numPr>
        <w:spacing w:afterLines="50" w:after="120"/>
        <w:ind w:leftChars="0"/>
        <w:rPr>
          <w:sz w:val="22"/>
          <w:szCs w:val="22"/>
          <w:lang w:val="en-US"/>
        </w:rPr>
      </w:pPr>
      <w:r>
        <w:rPr>
          <w:sz w:val="22"/>
          <w:szCs w:val="22"/>
          <w:lang w:val="en-US"/>
        </w:rPr>
        <w:t xml:space="preserve">Above SMTCs can have </w:t>
      </w:r>
      <w:r w:rsidR="00BB1861">
        <w:rPr>
          <w:sz w:val="22"/>
          <w:szCs w:val="22"/>
          <w:lang w:val="en-US"/>
        </w:rPr>
        <w:t>same or different periodicity and/or offset and/or list of SSB indices to be measured.</w:t>
      </w:r>
    </w:p>
    <w:p w14:paraId="6FE9959C" w14:textId="77777777" w:rsidR="00A03B07" w:rsidRDefault="00A03B07" w:rsidP="00BB1861">
      <w:pPr>
        <w:spacing w:afterLines="50" w:after="120"/>
        <w:rPr>
          <w:sz w:val="22"/>
          <w:szCs w:val="22"/>
          <w:lang w:val="en-US"/>
        </w:rPr>
      </w:pPr>
    </w:p>
    <w:p w14:paraId="0DAA7E9B" w14:textId="76914F48" w:rsidR="006317A1" w:rsidRDefault="00A03B07" w:rsidP="00BB1861">
      <w:pPr>
        <w:spacing w:afterLines="50" w:after="120"/>
        <w:rPr>
          <w:sz w:val="22"/>
          <w:szCs w:val="22"/>
          <w:lang w:val="en-US"/>
        </w:rPr>
      </w:pPr>
      <w:r>
        <w:rPr>
          <w:rFonts w:hint="eastAsia"/>
          <w:sz w:val="22"/>
          <w:szCs w:val="22"/>
          <w:lang w:val="en-US"/>
        </w:rPr>
        <w:t>Above</w:t>
      </w:r>
      <w:r>
        <w:rPr>
          <w:sz w:val="22"/>
          <w:szCs w:val="22"/>
          <w:lang w:val="en-US"/>
        </w:rPr>
        <w:t xml:space="preserve"> configurations for IAB-node DU/MT can provide flexibility necessary/sufficient for inter-IAB-node discovery and measurement as well as SSB transmission alignment across IAB-nodes for access UEs. </w:t>
      </w:r>
      <w:r w:rsidR="0072472B">
        <w:rPr>
          <w:sz w:val="22"/>
          <w:szCs w:val="22"/>
          <w:lang w:val="en-US"/>
        </w:rPr>
        <w:t>In addition, since above configuration intends to reuse Rel-15 configuration</w:t>
      </w:r>
      <w:r w:rsidR="006317A1">
        <w:rPr>
          <w:sz w:val="22"/>
          <w:szCs w:val="22"/>
          <w:lang w:val="en-US"/>
        </w:rPr>
        <w:t>/feature</w:t>
      </w:r>
      <w:r w:rsidR="0072472B">
        <w:rPr>
          <w:sz w:val="22"/>
          <w:szCs w:val="22"/>
          <w:lang w:val="en-US"/>
        </w:rPr>
        <w:t xml:space="preserve"> of periodic SSB burst set, it would be able to reduce specification/implementation efforts.</w:t>
      </w:r>
    </w:p>
    <w:p w14:paraId="74B8C8F3" w14:textId="7DBB4976" w:rsidR="006317A1" w:rsidRDefault="006317A1" w:rsidP="00BB1861">
      <w:pPr>
        <w:spacing w:afterLines="50" w:after="120"/>
        <w:rPr>
          <w:sz w:val="22"/>
          <w:szCs w:val="22"/>
          <w:lang w:val="en-US"/>
        </w:rPr>
      </w:pPr>
      <w:r>
        <w:rPr>
          <w:sz w:val="22"/>
          <w:szCs w:val="22"/>
          <w:lang w:val="en-US"/>
        </w:rPr>
        <w:t>On the other hand, there are other proposals for SSB transmission/reception configurations</w:t>
      </w:r>
      <w:r w:rsidR="005E48CB">
        <w:rPr>
          <w:sz w:val="22"/>
          <w:szCs w:val="22"/>
          <w:lang w:val="en-US"/>
        </w:rPr>
        <w:t xml:space="preserve"> [3]</w:t>
      </w:r>
      <w:r>
        <w:rPr>
          <w:sz w:val="22"/>
          <w:szCs w:val="22"/>
          <w:lang w:val="en-US"/>
        </w:rPr>
        <w:t>. Those proposals and our analysis are described below.</w:t>
      </w:r>
    </w:p>
    <w:p w14:paraId="512EE8DB" w14:textId="5A2D6CAD" w:rsidR="004F7DDB" w:rsidRDefault="004F7DDB" w:rsidP="004F7DDB">
      <w:pPr>
        <w:pStyle w:val="afc"/>
        <w:numPr>
          <w:ilvl w:val="0"/>
          <w:numId w:val="10"/>
        </w:numPr>
        <w:spacing w:afterLines="50" w:after="120"/>
        <w:ind w:leftChars="0"/>
        <w:rPr>
          <w:sz w:val="22"/>
          <w:szCs w:val="22"/>
          <w:lang w:val="en-US"/>
        </w:rPr>
      </w:pPr>
      <w:r>
        <w:rPr>
          <w:rFonts w:hint="eastAsia"/>
          <w:sz w:val="22"/>
          <w:szCs w:val="22"/>
          <w:lang w:val="en-US"/>
        </w:rPr>
        <w:t>Joint configuration approach, such as TX/no-TX (</w:t>
      </w:r>
      <w:r>
        <w:rPr>
          <w:sz w:val="22"/>
          <w:szCs w:val="22"/>
          <w:lang w:val="en-US"/>
        </w:rPr>
        <w:t>i.e., muting</w:t>
      </w:r>
      <w:r>
        <w:rPr>
          <w:rFonts w:hint="eastAsia"/>
          <w:sz w:val="22"/>
          <w:szCs w:val="22"/>
          <w:lang w:val="en-US"/>
        </w:rPr>
        <w:t>)</w:t>
      </w:r>
      <w:r>
        <w:rPr>
          <w:sz w:val="22"/>
          <w:szCs w:val="22"/>
          <w:lang w:val="en-US"/>
        </w:rPr>
        <w:t xml:space="preserve"> pattern configuration based on single periodic SSB transmission configuration</w:t>
      </w:r>
    </w:p>
    <w:p w14:paraId="1BAEFE32" w14:textId="64133EA6" w:rsidR="004F7DDB" w:rsidRDefault="004F7DDB" w:rsidP="004F7DDB">
      <w:pPr>
        <w:pStyle w:val="afc"/>
        <w:numPr>
          <w:ilvl w:val="1"/>
          <w:numId w:val="10"/>
        </w:numPr>
        <w:spacing w:afterLines="50" w:after="120"/>
        <w:ind w:leftChars="0"/>
        <w:rPr>
          <w:sz w:val="22"/>
          <w:szCs w:val="22"/>
          <w:lang w:val="en-US"/>
        </w:rPr>
      </w:pPr>
      <w:r>
        <w:rPr>
          <w:sz w:val="22"/>
          <w:szCs w:val="22"/>
          <w:lang w:val="en-US"/>
        </w:rPr>
        <w:t>It seems less flexible/efficient than our proposed approach (i.e., multiple separate configurations) since it assumes single periodic SSB pattern. For example, in Ex.2 in Figure 1, TX/no-TX patterns for IAB node #1/#2/#3 will be (TX, TX, no-TX, no-TX, …)</w:t>
      </w:r>
      <w:proofErr w:type="gramStart"/>
      <w:r>
        <w:rPr>
          <w:sz w:val="22"/>
          <w:szCs w:val="22"/>
          <w:lang w:val="en-US"/>
        </w:rPr>
        <w:t>/(</w:t>
      </w:r>
      <w:proofErr w:type="gramEnd"/>
      <w:r>
        <w:rPr>
          <w:sz w:val="22"/>
          <w:szCs w:val="22"/>
          <w:lang w:val="en-US"/>
        </w:rPr>
        <w:t xml:space="preserve">TX, no-TX, TX, no-TX, …)/(TX, no-TX, no-TX, TX, …), respectively. Assuming </w:t>
      </w:r>
      <w:r w:rsidR="004E62C5">
        <w:rPr>
          <w:sz w:val="22"/>
          <w:szCs w:val="22"/>
          <w:lang w:val="en-US"/>
        </w:rPr>
        <w:t>that required periodicity for inter-node measurement would not be too short while required periodicity for access UE’s measurement would not be too long, the periodicity of single SSB pattern needs to be short and there would be many “no-TX” in the pattern. However, “no-TX” would not always mean that IAB-node needs to perform inter-node discovery/measurement at the timing, since actual SSB transmission periodicity for inter-node discovery/measurement would be long. Therefore, anyway separate measurement timing configuration would be necessary.</w:t>
      </w:r>
    </w:p>
    <w:p w14:paraId="30C502C7" w14:textId="2857FC92" w:rsidR="00C34166" w:rsidRDefault="004E62C5" w:rsidP="00C34166">
      <w:pPr>
        <w:pStyle w:val="afc"/>
        <w:numPr>
          <w:ilvl w:val="1"/>
          <w:numId w:val="10"/>
        </w:numPr>
        <w:spacing w:afterLines="50" w:after="120"/>
        <w:ind w:leftChars="0"/>
        <w:rPr>
          <w:sz w:val="22"/>
          <w:szCs w:val="22"/>
          <w:lang w:val="en-US"/>
        </w:rPr>
      </w:pPr>
      <w:r>
        <w:rPr>
          <w:sz w:val="22"/>
          <w:szCs w:val="22"/>
          <w:lang w:val="en-US"/>
        </w:rPr>
        <w:t>In addition, for the case like Ex.1 in Figure 1, different set of SSB indices need to be transmitted in different period. So, simple TX/no-TX pattern would be insufficient, and configuration would become complex if single periodicity with different set of SSB indices for each period is to be configured.</w:t>
      </w:r>
    </w:p>
    <w:p w14:paraId="528125E9" w14:textId="2A807B6C" w:rsidR="00C34166" w:rsidRPr="00C34166" w:rsidRDefault="00306300" w:rsidP="00306300">
      <w:pPr>
        <w:pStyle w:val="afc"/>
        <w:numPr>
          <w:ilvl w:val="1"/>
          <w:numId w:val="10"/>
        </w:numPr>
        <w:spacing w:afterLines="50" w:after="120"/>
        <w:ind w:leftChars="0"/>
        <w:rPr>
          <w:sz w:val="22"/>
          <w:szCs w:val="22"/>
          <w:lang w:val="en-US"/>
        </w:rPr>
      </w:pPr>
      <w:r>
        <w:rPr>
          <w:sz w:val="22"/>
          <w:szCs w:val="22"/>
          <w:lang w:val="en-US"/>
        </w:rPr>
        <w:t>Also f</w:t>
      </w:r>
      <w:r w:rsidR="00C34166">
        <w:rPr>
          <w:sz w:val="22"/>
          <w:szCs w:val="22"/>
          <w:lang w:val="en-US"/>
        </w:rPr>
        <w:t xml:space="preserve">or measurement, </w:t>
      </w:r>
      <w:r>
        <w:rPr>
          <w:sz w:val="22"/>
          <w:szCs w:val="22"/>
          <w:lang w:val="en-US"/>
        </w:rPr>
        <w:t>as argued above, just “no-TX” patterns with periodicity value is insufficient. O</w:t>
      </w:r>
      <w:r w:rsidRPr="00306300">
        <w:rPr>
          <w:sz w:val="22"/>
          <w:szCs w:val="22"/>
          <w:lang w:val="en-US"/>
        </w:rPr>
        <w:t>ne of the important principles of Rel-15 SMTC configuration is that target cells/SSBs to be measured in each occasion of periodic window are not changed</w:t>
      </w:r>
      <w:r>
        <w:rPr>
          <w:sz w:val="22"/>
          <w:szCs w:val="22"/>
          <w:lang w:val="en-US"/>
        </w:rPr>
        <w:t xml:space="preserve">. In this joint configuration approach, the IAB-node MT would have no information on </w:t>
      </w:r>
      <w:r w:rsidRPr="00306300">
        <w:rPr>
          <w:sz w:val="22"/>
          <w:szCs w:val="22"/>
          <w:lang w:val="en-US"/>
        </w:rPr>
        <w:t xml:space="preserve">target cells/SSBs to be measured in each </w:t>
      </w:r>
      <w:r>
        <w:rPr>
          <w:sz w:val="22"/>
          <w:szCs w:val="22"/>
          <w:lang w:val="en-US"/>
        </w:rPr>
        <w:t xml:space="preserve">“no-TX” </w:t>
      </w:r>
      <w:r w:rsidRPr="00306300">
        <w:rPr>
          <w:sz w:val="22"/>
          <w:szCs w:val="22"/>
          <w:lang w:val="en-US"/>
        </w:rPr>
        <w:t>occasion</w:t>
      </w:r>
      <w:r>
        <w:rPr>
          <w:sz w:val="22"/>
          <w:szCs w:val="22"/>
          <w:lang w:val="en-US"/>
        </w:rPr>
        <w:t>.</w:t>
      </w:r>
    </w:p>
    <w:p w14:paraId="186C4BB8" w14:textId="6938192C" w:rsidR="004E62C5" w:rsidRDefault="004E62C5" w:rsidP="004E62C5">
      <w:pPr>
        <w:pStyle w:val="afc"/>
        <w:numPr>
          <w:ilvl w:val="0"/>
          <w:numId w:val="10"/>
        </w:numPr>
        <w:spacing w:afterLines="50" w:after="120"/>
        <w:ind w:leftChars="0"/>
        <w:rPr>
          <w:sz w:val="22"/>
          <w:szCs w:val="22"/>
          <w:lang w:val="en-US"/>
        </w:rPr>
      </w:pPr>
      <w:r>
        <w:rPr>
          <w:sz w:val="22"/>
          <w:szCs w:val="22"/>
          <w:lang w:val="en-US"/>
        </w:rPr>
        <w:t>Pseudo-random TX pattern according to e.g., PCI and/or hop order</w:t>
      </w:r>
    </w:p>
    <w:p w14:paraId="282A968F" w14:textId="57D18F0A" w:rsidR="000B2F07" w:rsidRDefault="00BB62DE" w:rsidP="00BB62DE">
      <w:pPr>
        <w:pStyle w:val="afc"/>
        <w:numPr>
          <w:ilvl w:val="1"/>
          <w:numId w:val="10"/>
        </w:numPr>
        <w:spacing w:afterLines="50" w:after="120"/>
        <w:ind w:leftChars="0"/>
        <w:rPr>
          <w:sz w:val="22"/>
          <w:szCs w:val="22"/>
          <w:lang w:val="en-US"/>
        </w:rPr>
      </w:pPr>
      <w:r>
        <w:rPr>
          <w:sz w:val="22"/>
          <w:szCs w:val="22"/>
          <w:lang w:val="en-US"/>
        </w:rPr>
        <w:t>In this approach, one of predefined ps</w:t>
      </w:r>
      <w:r w:rsidR="00C52933">
        <w:rPr>
          <w:sz w:val="22"/>
          <w:szCs w:val="22"/>
          <w:lang w:val="en-US"/>
        </w:rPr>
        <w:t>eudo-random TX/no-TX patterns would be</w:t>
      </w:r>
      <w:r>
        <w:rPr>
          <w:sz w:val="22"/>
          <w:szCs w:val="22"/>
          <w:lang w:val="en-US"/>
        </w:rPr>
        <w:t xml:space="preserve"> selected according to PCI and/or hop order in each IAB-node DU, i.e., necessary information </w:t>
      </w:r>
      <w:r w:rsidRPr="00BB62DE">
        <w:rPr>
          <w:sz w:val="22"/>
          <w:szCs w:val="22"/>
          <w:lang w:val="en-US"/>
        </w:rPr>
        <w:t>for the DU to determine when to transmit SSB</w:t>
      </w:r>
      <w:r>
        <w:rPr>
          <w:sz w:val="22"/>
          <w:szCs w:val="22"/>
          <w:lang w:val="en-US"/>
        </w:rPr>
        <w:t xml:space="preserve"> is just PCI and/or hop order. However, it is also less flexible due to limited number of predefined pseudo-random TX/no-TX patterns</w:t>
      </w:r>
      <w:r w:rsidR="00976B50">
        <w:rPr>
          <w:sz w:val="22"/>
          <w:szCs w:val="22"/>
          <w:lang w:val="en-US"/>
        </w:rPr>
        <w:t>,</w:t>
      </w:r>
      <w:r>
        <w:rPr>
          <w:sz w:val="22"/>
          <w:szCs w:val="22"/>
          <w:lang w:val="en-US"/>
        </w:rPr>
        <w:t xml:space="preserve"> and </w:t>
      </w:r>
      <w:r w:rsidR="00976B50">
        <w:rPr>
          <w:sz w:val="22"/>
          <w:szCs w:val="22"/>
          <w:lang w:val="en-US"/>
        </w:rPr>
        <w:t xml:space="preserve">is </w:t>
      </w:r>
      <w:r>
        <w:rPr>
          <w:sz w:val="22"/>
          <w:szCs w:val="22"/>
          <w:lang w:val="en-US"/>
        </w:rPr>
        <w:t>less efficient since specification effort to define such pseudo-random patterns would be large while complete orthogonal patterns can be configur</w:t>
      </w:r>
      <w:bookmarkStart w:id="2" w:name="_GoBack"/>
      <w:bookmarkEnd w:id="2"/>
      <w:r>
        <w:rPr>
          <w:sz w:val="22"/>
          <w:szCs w:val="22"/>
          <w:lang w:val="en-US"/>
        </w:rPr>
        <w:t xml:space="preserve">ed based on </w:t>
      </w:r>
      <w:r w:rsidR="00976B50">
        <w:rPr>
          <w:sz w:val="22"/>
          <w:szCs w:val="22"/>
          <w:lang w:val="en-US"/>
        </w:rPr>
        <w:t xml:space="preserve">NW implementation </w:t>
      </w:r>
      <w:r>
        <w:rPr>
          <w:sz w:val="22"/>
          <w:szCs w:val="22"/>
          <w:lang w:val="en-US"/>
        </w:rPr>
        <w:t>in multiple separate configuration approach.</w:t>
      </w:r>
    </w:p>
    <w:p w14:paraId="37FC7028" w14:textId="29D26193" w:rsidR="000B2F07" w:rsidRDefault="000B2F07" w:rsidP="000B2F07">
      <w:pPr>
        <w:pStyle w:val="afc"/>
        <w:numPr>
          <w:ilvl w:val="0"/>
          <w:numId w:val="10"/>
        </w:numPr>
        <w:spacing w:afterLines="50" w:after="120"/>
        <w:ind w:leftChars="0"/>
        <w:rPr>
          <w:sz w:val="22"/>
          <w:szCs w:val="22"/>
          <w:lang w:val="en-US"/>
        </w:rPr>
      </w:pPr>
      <w:r>
        <w:rPr>
          <w:sz w:val="22"/>
          <w:szCs w:val="22"/>
          <w:lang w:val="en-US"/>
        </w:rPr>
        <w:t>Single SSB reception configuration (e.g., single SMTC</w:t>
      </w:r>
      <w:r w:rsidR="00976B50">
        <w:rPr>
          <w:sz w:val="22"/>
          <w:szCs w:val="22"/>
          <w:lang w:val="en-US"/>
        </w:rPr>
        <w:t xml:space="preserve"> window</w:t>
      </w:r>
      <w:r>
        <w:rPr>
          <w:sz w:val="22"/>
          <w:szCs w:val="22"/>
          <w:lang w:val="en-US"/>
        </w:rPr>
        <w:t xml:space="preserve">) with </w:t>
      </w:r>
      <w:r w:rsidR="00C85C7F">
        <w:rPr>
          <w:sz w:val="22"/>
          <w:szCs w:val="22"/>
          <w:lang w:val="en-US"/>
        </w:rPr>
        <w:t>potential extension of</w:t>
      </w:r>
      <w:r>
        <w:rPr>
          <w:sz w:val="22"/>
          <w:szCs w:val="22"/>
          <w:lang w:val="en-US"/>
        </w:rPr>
        <w:t xml:space="preserve"> window size</w:t>
      </w:r>
    </w:p>
    <w:p w14:paraId="3121CCA2" w14:textId="340957E8" w:rsidR="000B2F07" w:rsidRPr="00165611" w:rsidRDefault="00976B50" w:rsidP="00165611">
      <w:pPr>
        <w:pStyle w:val="afc"/>
        <w:numPr>
          <w:ilvl w:val="1"/>
          <w:numId w:val="10"/>
        </w:numPr>
        <w:spacing w:afterLines="50" w:after="120"/>
        <w:ind w:leftChars="0"/>
        <w:rPr>
          <w:sz w:val="22"/>
          <w:szCs w:val="22"/>
          <w:lang w:val="en-US"/>
        </w:rPr>
      </w:pPr>
      <w:r>
        <w:rPr>
          <w:sz w:val="22"/>
          <w:szCs w:val="22"/>
          <w:lang w:val="en-US"/>
        </w:rPr>
        <w:t xml:space="preserve">In this </w:t>
      </w:r>
      <w:r w:rsidR="00C85C7F">
        <w:rPr>
          <w:sz w:val="22"/>
          <w:szCs w:val="22"/>
          <w:lang w:val="en-US"/>
        </w:rPr>
        <w:t xml:space="preserve">approach, single periodic SMTC window is configured for inter-IAB-node measurement. </w:t>
      </w:r>
      <w:r w:rsidR="00165611">
        <w:rPr>
          <w:sz w:val="22"/>
          <w:szCs w:val="22"/>
          <w:lang w:val="en-US"/>
        </w:rPr>
        <w:t xml:space="preserve">However, it is less flexible/efficient compared with multiple SMTCs approach. As shown in Figure 2, SSB transmissions across IAB-nodes for inter-IAB-node measurement would be centralized (Ex.1) or distributed (Ex.2) according to number of SSBs per node, required transmission periodicity, NW policy on scheduling restriction due to SSB transmission/reception and so on. Single periodic SMTC window configuration seems not appropriate especially for distributed SSB case since almost part of SMTC window is actually not measurement occasion for inter-IAB-node measurement. If short SMTC window with short periodicity is used for distributed SSB case, different cells/set of SSBs would need to be measured in different periods. It is quite complicated and hence two SMTCs are supported in Rel-15 to cover two set of cells with different SSB periodicity on the same carrier. </w:t>
      </w:r>
      <w:r w:rsidR="006670E6">
        <w:rPr>
          <w:sz w:val="22"/>
          <w:szCs w:val="22"/>
          <w:lang w:val="en-US"/>
        </w:rPr>
        <w:t xml:space="preserve">In multiple SMTCs </w:t>
      </w:r>
      <w:r w:rsidR="006670E6">
        <w:rPr>
          <w:sz w:val="22"/>
          <w:szCs w:val="22"/>
          <w:lang w:val="en-US"/>
        </w:rPr>
        <w:lastRenderedPageBreak/>
        <w:t>approach, each SMTC window is periodic and same cells/set of SSBs need to be measured in each period of a certain SMTC window.</w:t>
      </w:r>
    </w:p>
    <w:p w14:paraId="76B995C5" w14:textId="3B698ED4" w:rsidR="00BB1861" w:rsidRDefault="000B2F07" w:rsidP="00BB1861">
      <w:pPr>
        <w:spacing w:afterLines="50" w:after="120"/>
        <w:rPr>
          <w:sz w:val="22"/>
          <w:szCs w:val="22"/>
          <w:lang w:val="en-US"/>
        </w:rPr>
      </w:pPr>
      <w:r>
        <w:rPr>
          <w:sz w:val="22"/>
          <w:szCs w:val="22"/>
          <w:lang w:val="en-US"/>
        </w:rPr>
        <w:t xml:space="preserve">Based on above analysis, we found that </w:t>
      </w:r>
      <w:r w:rsidR="006670E6">
        <w:rPr>
          <w:sz w:val="22"/>
          <w:szCs w:val="22"/>
          <w:lang w:val="en-US"/>
        </w:rPr>
        <w:t xml:space="preserve">the </w:t>
      </w:r>
      <w:r>
        <w:rPr>
          <w:sz w:val="22"/>
          <w:szCs w:val="22"/>
          <w:lang w:val="en-US"/>
        </w:rPr>
        <w:t>proposed approach such as multiple separate configurations is the most flexible and efficient approach for SSB transmission and reception configuration.</w:t>
      </w:r>
    </w:p>
    <w:p w14:paraId="5A815773" w14:textId="77777777" w:rsidR="006670E6" w:rsidRPr="009E7F86" w:rsidRDefault="006670E6" w:rsidP="006670E6">
      <w:pPr>
        <w:spacing w:afterLines="50" w:after="120"/>
        <w:jc w:val="both"/>
        <w:rPr>
          <w:rFonts w:eastAsia="游明朝"/>
          <w:b/>
          <w:sz w:val="22"/>
          <w:szCs w:val="22"/>
        </w:rPr>
      </w:pPr>
      <w:r>
        <w:rPr>
          <w:rFonts w:eastAsia="游明朝" w:hint="eastAsia"/>
          <w:b/>
          <w:noProof/>
          <w:sz w:val="22"/>
          <w:szCs w:val="22"/>
          <w:lang w:val="en-US"/>
        </w:rPr>
        <w:drawing>
          <wp:inline distT="0" distB="0" distL="0" distR="0" wp14:anchorId="61DBB05D" wp14:editId="4409BC06">
            <wp:extent cx="6332220" cy="43376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4337685"/>
                    </a:xfrm>
                    <a:prstGeom prst="rect">
                      <a:avLst/>
                    </a:prstGeom>
                  </pic:spPr>
                </pic:pic>
              </a:graphicData>
            </a:graphic>
          </wp:inline>
        </w:drawing>
      </w:r>
    </w:p>
    <w:p w14:paraId="2F04AFDE" w14:textId="77777777" w:rsidR="006670E6" w:rsidRPr="00361C29" w:rsidRDefault="006670E6" w:rsidP="006670E6">
      <w:pPr>
        <w:spacing w:afterLines="50" w:after="120"/>
        <w:jc w:val="center"/>
        <w:rPr>
          <w:sz w:val="22"/>
          <w:szCs w:val="22"/>
          <w:lang w:val="en-US"/>
        </w:rPr>
      </w:pPr>
      <w:r>
        <w:rPr>
          <w:rFonts w:hint="eastAsia"/>
          <w:sz w:val="22"/>
          <w:szCs w:val="22"/>
          <w:lang w:val="en-US"/>
        </w:rPr>
        <w:t xml:space="preserve">Figure </w:t>
      </w:r>
      <w:r>
        <w:rPr>
          <w:sz w:val="22"/>
          <w:szCs w:val="22"/>
          <w:lang w:val="en-US"/>
        </w:rPr>
        <w:t>2</w:t>
      </w:r>
      <w:r>
        <w:rPr>
          <w:rFonts w:hint="eastAsia"/>
          <w:sz w:val="22"/>
          <w:szCs w:val="22"/>
          <w:lang w:val="en-US"/>
        </w:rPr>
        <w:t>: Examples of SSB reception</w:t>
      </w:r>
      <w:r>
        <w:rPr>
          <w:sz w:val="22"/>
          <w:szCs w:val="22"/>
          <w:lang w:val="en-US"/>
        </w:rPr>
        <w:t xml:space="preserve"> timing </w:t>
      </w:r>
      <w:r>
        <w:rPr>
          <w:rFonts w:hint="eastAsia"/>
          <w:sz w:val="22"/>
          <w:szCs w:val="22"/>
          <w:lang w:val="en-US"/>
        </w:rPr>
        <w:t>configuration</w:t>
      </w:r>
      <w:r>
        <w:rPr>
          <w:sz w:val="22"/>
          <w:szCs w:val="22"/>
          <w:lang w:val="en-US"/>
        </w:rPr>
        <w:t>s for inter-IAB-node measurement</w:t>
      </w:r>
    </w:p>
    <w:p w14:paraId="46DD6796" w14:textId="784C9974" w:rsidR="000B2F07" w:rsidRDefault="000B2F07" w:rsidP="00BB1861">
      <w:pPr>
        <w:spacing w:afterLines="50" w:after="120"/>
        <w:rPr>
          <w:sz w:val="22"/>
          <w:szCs w:val="22"/>
          <w:lang w:val="en-US"/>
        </w:rPr>
      </w:pPr>
    </w:p>
    <w:p w14:paraId="2DA7E476" w14:textId="41C0FCA1" w:rsidR="00C34166" w:rsidRDefault="00C34166" w:rsidP="00BB1861">
      <w:pPr>
        <w:spacing w:afterLines="50" w:after="120"/>
        <w:rPr>
          <w:b/>
          <w:sz w:val="22"/>
          <w:szCs w:val="22"/>
          <w:lang w:val="en-US"/>
        </w:rPr>
      </w:pPr>
      <w:r w:rsidRPr="00C34166">
        <w:rPr>
          <w:rFonts w:hint="eastAsia"/>
          <w:b/>
          <w:sz w:val="22"/>
          <w:szCs w:val="22"/>
          <w:u w:val="single"/>
          <w:lang w:val="en-US"/>
        </w:rPr>
        <w:t>Observation 1</w:t>
      </w:r>
      <w:r w:rsidRPr="00C34166">
        <w:rPr>
          <w:rFonts w:hint="eastAsia"/>
          <w:b/>
          <w:sz w:val="22"/>
          <w:szCs w:val="22"/>
          <w:lang w:val="en-US"/>
        </w:rPr>
        <w:t>: One of the important principle</w:t>
      </w:r>
      <w:r w:rsidRPr="00C34166">
        <w:rPr>
          <w:b/>
          <w:sz w:val="22"/>
          <w:szCs w:val="22"/>
          <w:lang w:val="en-US"/>
        </w:rPr>
        <w:t>s</w:t>
      </w:r>
      <w:r w:rsidRPr="00C34166">
        <w:rPr>
          <w:rFonts w:hint="eastAsia"/>
          <w:b/>
          <w:sz w:val="22"/>
          <w:szCs w:val="22"/>
          <w:lang w:val="en-US"/>
        </w:rPr>
        <w:t xml:space="preserve"> of Rel-15 SMTC configuration is that target cells/SSBs to be measured in each </w:t>
      </w:r>
      <w:r w:rsidRPr="00C34166">
        <w:rPr>
          <w:b/>
          <w:sz w:val="22"/>
          <w:szCs w:val="22"/>
          <w:lang w:val="en-US"/>
        </w:rPr>
        <w:t xml:space="preserve">occasion </w:t>
      </w:r>
      <w:r w:rsidRPr="00C34166">
        <w:rPr>
          <w:rFonts w:hint="eastAsia"/>
          <w:b/>
          <w:sz w:val="22"/>
          <w:szCs w:val="22"/>
          <w:lang w:val="en-US"/>
        </w:rPr>
        <w:t>of periodic window</w:t>
      </w:r>
      <w:r w:rsidRPr="00C34166">
        <w:rPr>
          <w:b/>
          <w:sz w:val="22"/>
          <w:szCs w:val="22"/>
          <w:lang w:val="en-US"/>
        </w:rPr>
        <w:t xml:space="preserve"> are not changed, and hence Rel-15 specification supports up to two SMTC configurations for intra-frequency measurement per carrier.</w:t>
      </w:r>
    </w:p>
    <w:p w14:paraId="23A8825C" w14:textId="1A72047E" w:rsidR="00306300" w:rsidRPr="00306300" w:rsidRDefault="00306300" w:rsidP="00306300">
      <w:pPr>
        <w:pStyle w:val="afc"/>
        <w:numPr>
          <w:ilvl w:val="0"/>
          <w:numId w:val="12"/>
        </w:numPr>
        <w:spacing w:afterLines="50" w:after="120"/>
        <w:ind w:leftChars="0"/>
        <w:rPr>
          <w:b/>
          <w:sz w:val="22"/>
          <w:szCs w:val="22"/>
          <w:lang w:val="en-US"/>
        </w:rPr>
      </w:pPr>
      <w:r>
        <w:rPr>
          <w:b/>
          <w:sz w:val="22"/>
          <w:szCs w:val="22"/>
          <w:lang w:val="en-US"/>
        </w:rPr>
        <w:t>Joint configuration approach based on TX configuration with muting pattern and single SMTC approach do not comply with this principle.</w:t>
      </w:r>
    </w:p>
    <w:p w14:paraId="64574113" w14:textId="6F4BFFF4" w:rsidR="000B2F07" w:rsidRPr="000B2F07" w:rsidRDefault="00A03B07" w:rsidP="000B2F0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000B2F07" w:rsidRPr="000B2F07">
        <w:rPr>
          <w:rFonts w:eastAsia="游明朝"/>
          <w:b/>
          <w:sz w:val="22"/>
          <w:szCs w:val="22"/>
        </w:rPr>
        <w:t>An IAB-node DU is configured with at le</w:t>
      </w:r>
      <w:r w:rsidR="000B2F07">
        <w:rPr>
          <w:rFonts w:eastAsia="游明朝"/>
          <w:b/>
          <w:sz w:val="22"/>
          <w:szCs w:val="22"/>
        </w:rPr>
        <w:t>ast one SSB transmission configuration for access UE’s measurement</w:t>
      </w:r>
      <w:r w:rsidR="000B2F07" w:rsidRPr="000B2F07">
        <w:rPr>
          <w:rFonts w:eastAsia="游明朝"/>
          <w:b/>
          <w:sz w:val="22"/>
          <w:szCs w:val="22"/>
        </w:rPr>
        <w:t xml:space="preserve">, and can be configured with </w:t>
      </w:r>
      <w:r w:rsidR="000B2F07">
        <w:rPr>
          <w:rFonts w:eastAsia="游明朝"/>
          <w:b/>
          <w:sz w:val="22"/>
          <w:szCs w:val="22"/>
        </w:rPr>
        <w:t>another SSB transmission configuration for inter-IAB-node measurement</w:t>
      </w:r>
      <w:r w:rsidR="000B2F07" w:rsidRPr="000B2F07">
        <w:rPr>
          <w:rFonts w:eastAsia="游明朝"/>
          <w:b/>
          <w:sz w:val="22"/>
          <w:szCs w:val="22"/>
        </w:rPr>
        <w:t>.</w:t>
      </w:r>
    </w:p>
    <w:p w14:paraId="02686EB1" w14:textId="66337040" w:rsidR="000B2F07" w:rsidRDefault="000B2F07" w:rsidP="000B2F07">
      <w:pPr>
        <w:pStyle w:val="afc"/>
        <w:numPr>
          <w:ilvl w:val="0"/>
          <w:numId w:val="11"/>
        </w:numPr>
        <w:spacing w:afterLines="50" w:after="120"/>
        <w:ind w:leftChars="0"/>
        <w:jc w:val="both"/>
        <w:rPr>
          <w:rFonts w:eastAsia="游明朝"/>
          <w:b/>
          <w:sz w:val="22"/>
          <w:szCs w:val="22"/>
        </w:rPr>
      </w:pPr>
      <w:r w:rsidRPr="000B2F07">
        <w:rPr>
          <w:rFonts w:eastAsia="游明朝"/>
          <w:b/>
          <w:sz w:val="22"/>
          <w:szCs w:val="22"/>
        </w:rPr>
        <w:t xml:space="preserve">In case that IAB-node DU is configured with two SSB transmission </w:t>
      </w:r>
      <w:r>
        <w:rPr>
          <w:rFonts w:eastAsia="游明朝"/>
          <w:b/>
          <w:sz w:val="22"/>
          <w:szCs w:val="22"/>
        </w:rPr>
        <w:t>configuration</w:t>
      </w:r>
      <w:r w:rsidRPr="000B2F07">
        <w:rPr>
          <w:rFonts w:eastAsia="游明朝"/>
          <w:b/>
          <w:sz w:val="22"/>
          <w:szCs w:val="22"/>
        </w:rPr>
        <w:t>s, at least following para</w:t>
      </w:r>
      <w:r>
        <w:rPr>
          <w:rFonts w:eastAsia="游明朝"/>
          <w:b/>
          <w:sz w:val="22"/>
          <w:szCs w:val="22"/>
        </w:rPr>
        <w:t>meters are separately provided</w:t>
      </w:r>
      <w:r w:rsidRPr="000B2F07">
        <w:rPr>
          <w:rFonts w:eastAsia="游明朝"/>
          <w:b/>
          <w:sz w:val="22"/>
          <w:szCs w:val="22"/>
        </w:rPr>
        <w:t xml:space="preserve"> for each</w:t>
      </w:r>
      <w:r>
        <w:rPr>
          <w:rFonts w:eastAsia="游明朝"/>
          <w:b/>
          <w:sz w:val="22"/>
          <w:szCs w:val="22"/>
        </w:rPr>
        <w:t xml:space="preserve"> transmission configuration</w:t>
      </w:r>
      <w:r w:rsidRPr="000B2F07">
        <w:rPr>
          <w:rFonts w:eastAsia="游明朝"/>
          <w:b/>
          <w:sz w:val="22"/>
          <w:szCs w:val="22"/>
        </w:rPr>
        <w:t>.</w:t>
      </w:r>
    </w:p>
    <w:p w14:paraId="6A436A2B" w14:textId="07F83EF2" w:rsidR="009E7F86" w:rsidRPr="009E7F86" w:rsidRDefault="000B2F07" w:rsidP="009E7F86">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frequency</w:t>
      </w:r>
    </w:p>
    <w:p w14:paraId="05592CB6" w14:textId="6ECDB64B" w:rsidR="000B2F07" w:rsidRDefault="000B2F07" w:rsidP="000B2F07">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Periodicity and offset</w:t>
      </w:r>
    </w:p>
    <w:p w14:paraId="64D73C20" w14:textId="2DAD8572" w:rsidR="000B2F07" w:rsidRDefault="000B2F07" w:rsidP="000B2F07">
      <w:pPr>
        <w:pStyle w:val="afc"/>
        <w:numPr>
          <w:ilvl w:val="2"/>
          <w:numId w:val="11"/>
        </w:numPr>
        <w:spacing w:afterLines="50" w:after="120"/>
        <w:ind w:leftChars="0"/>
        <w:jc w:val="both"/>
        <w:rPr>
          <w:rFonts w:eastAsia="游明朝"/>
          <w:b/>
          <w:sz w:val="22"/>
          <w:szCs w:val="22"/>
        </w:rPr>
      </w:pPr>
      <w:r>
        <w:rPr>
          <w:rFonts w:eastAsia="游明朝"/>
          <w:b/>
          <w:sz w:val="22"/>
          <w:szCs w:val="22"/>
        </w:rPr>
        <w:t xml:space="preserve">In SSB transmission configuration for </w:t>
      </w:r>
      <w:r w:rsidR="009E7F86">
        <w:rPr>
          <w:rFonts w:eastAsia="游明朝"/>
          <w:b/>
          <w:sz w:val="22"/>
          <w:szCs w:val="22"/>
        </w:rPr>
        <w:t>inter-IAB-node measurement, potentially candidate periodicity value(s) longer than 160ms may be included</w:t>
      </w:r>
    </w:p>
    <w:p w14:paraId="0AA57B0B" w14:textId="5A90F312" w:rsidR="000B2F07" w:rsidRDefault="000B2F07" w:rsidP="000B2F07">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indices to be transmitted</w:t>
      </w:r>
    </w:p>
    <w:p w14:paraId="4AF28C80" w14:textId="3BF59046" w:rsidR="00F651EE" w:rsidRDefault="00F651EE" w:rsidP="00F651EE">
      <w:pPr>
        <w:spacing w:afterLines="50" w:after="120"/>
        <w:jc w:val="both"/>
        <w:rPr>
          <w:rFonts w:eastAsia="游明朝"/>
          <w:b/>
          <w:sz w:val="22"/>
          <w:szCs w:val="22"/>
        </w:rPr>
      </w:pPr>
      <w:r w:rsidRPr="00F651EE">
        <w:rPr>
          <w:rFonts w:eastAsia="游明朝"/>
          <w:b/>
          <w:sz w:val="22"/>
          <w:szCs w:val="22"/>
          <w:u w:val="single"/>
        </w:rPr>
        <w:lastRenderedPageBreak/>
        <w:t>Proposal</w:t>
      </w:r>
      <w:r>
        <w:rPr>
          <w:rFonts w:eastAsia="游明朝" w:hint="eastAsia"/>
          <w:b/>
          <w:sz w:val="22"/>
          <w:szCs w:val="22"/>
          <w:u w:val="single"/>
        </w:rPr>
        <w:t xml:space="preserve"> </w:t>
      </w:r>
      <w:r>
        <w:rPr>
          <w:rFonts w:eastAsia="游明朝"/>
          <w:b/>
          <w:sz w:val="22"/>
          <w:szCs w:val="22"/>
          <w:u w:val="single"/>
        </w:rPr>
        <w:t>2</w:t>
      </w:r>
      <w:r w:rsidRPr="00F651EE">
        <w:rPr>
          <w:rFonts w:eastAsia="游明朝" w:hint="eastAsia"/>
          <w:b/>
          <w:sz w:val="22"/>
          <w:szCs w:val="22"/>
        </w:rPr>
        <w:t xml:space="preserve">: </w:t>
      </w:r>
      <w:r w:rsidR="00314297">
        <w:rPr>
          <w:rFonts w:eastAsia="游明朝"/>
          <w:b/>
          <w:sz w:val="22"/>
          <w:szCs w:val="22"/>
        </w:rPr>
        <w:t>An IAB node reports the number of SSB transmissions (i.e., number of beams for SSB</w:t>
      </w:r>
      <w:r w:rsidR="009E7F86">
        <w:rPr>
          <w:rFonts w:eastAsia="游明朝"/>
          <w:b/>
          <w:sz w:val="22"/>
          <w:szCs w:val="22"/>
        </w:rPr>
        <w:t xml:space="preserve"> transmission</w:t>
      </w:r>
      <w:r w:rsidR="00314297">
        <w:rPr>
          <w:rFonts w:eastAsia="游明朝"/>
          <w:b/>
          <w:sz w:val="22"/>
          <w:szCs w:val="22"/>
        </w:rPr>
        <w:t>) to its parent IAB-node/donor</w:t>
      </w:r>
      <w:r w:rsidR="009E7F86">
        <w:rPr>
          <w:rFonts w:eastAsia="游明朝"/>
          <w:b/>
          <w:sz w:val="22"/>
          <w:szCs w:val="22"/>
        </w:rPr>
        <w:t xml:space="preserve"> or CU</w:t>
      </w:r>
      <w:r w:rsidR="00872735">
        <w:rPr>
          <w:rFonts w:eastAsia="游明朝"/>
          <w:b/>
          <w:sz w:val="22"/>
          <w:szCs w:val="22"/>
        </w:rPr>
        <w:t>.</w:t>
      </w:r>
    </w:p>
    <w:p w14:paraId="1C0410E8" w14:textId="6D634AD5" w:rsidR="009E7F86" w:rsidRDefault="009E7F86" w:rsidP="009E7F8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An IAB-node MT</w:t>
      </w:r>
      <w:r w:rsidRPr="000B2F07">
        <w:rPr>
          <w:rFonts w:eastAsia="游明朝"/>
          <w:b/>
          <w:sz w:val="22"/>
          <w:szCs w:val="22"/>
        </w:rPr>
        <w:t xml:space="preserve"> is c</w:t>
      </w:r>
      <w:r>
        <w:rPr>
          <w:rFonts w:eastAsia="游明朝"/>
          <w:b/>
          <w:sz w:val="22"/>
          <w:szCs w:val="22"/>
        </w:rPr>
        <w:t>onfigured with up to N SSB reception configurations, i.e., up to N periodic SMTC windows, for inter-IAB-node measurement</w:t>
      </w:r>
      <w:r w:rsidRPr="000B2F07">
        <w:rPr>
          <w:rFonts w:eastAsia="游明朝"/>
          <w:b/>
          <w:sz w:val="22"/>
          <w:szCs w:val="22"/>
        </w:rPr>
        <w:t>.</w:t>
      </w:r>
    </w:p>
    <w:p w14:paraId="0F580021" w14:textId="26629033" w:rsidR="009E7F86" w:rsidRDefault="009E7F86" w:rsidP="009E7F86">
      <w:pPr>
        <w:pStyle w:val="afc"/>
        <w:numPr>
          <w:ilvl w:val="0"/>
          <w:numId w:val="11"/>
        </w:numPr>
        <w:spacing w:afterLines="50" w:after="120"/>
        <w:ind w:leftChars="0"/>
        <w:jc w:val="both"/>
        <w:rPr>
          <w:rFonts w:eastAsia="游明朝"/>
          <w:b/>
          <w:sz w:val="22"/>
          <w:szCs w:val="22"/>
        </w:rPr>
      </w:pPr>
      <w:r>
        <w:rPr>
          <w:rFonts w:eastAsia="游明朝"/>
          <w:b/>
          <w:sz w:val="22"/>
          <w:szCs w:val="22"/>
        </w:rPr>
        <w:t>A</w:t>
      </w:r>
      <w:r w:rsidRPr="000B2F07">
        <w:rPr>
          <w:rFonts w:eastAsia="游明朝"/>
          <w:b/>
          <w:sz w:val="22"/>
          <w:szCs w:val="22"/>
        </w:rPr>
        <w:t>t least following para</w:t>
      </w:r>
      <w:r>
        <w:rPr>
          <w:rFonts w:eastAsia="游明朝"/>
          <w:b/>
          <w:sz w:val="22"/>
          <w:szCs w:val="22"/>
        </w:rPr>
        <w:t>meters are separately provided for each reception configuration.</w:t>
      </w:r>
    </w:p>
    <w:p w14:paraId="10642408" w14:textId="20BF4CEF" w:rsidR="009E7F86" w:rsidRPr="009E7F86" w:rsidRDefault="009E7F86" w:rsidP="009E7F86">
      <w:pPr>
        <w:pStyle w:val="afc"/>
        <w:numPr>
          <w:ilvl w:val="1"/>
          <w:numId w:val="11"/>
        </w:numPr>
        <w:spacing w:afterLines="50" w:after="120"/>
        <w:ind w:leftChars="0"/>
        <w:jc w:val="both"/>
        <w:rPr>
          <w:rFonts w:eastAsia="游明朝"/>
          <w:b/>
          <w:sz w:val="22"/>
          <w:szCs w:val="22"/>
        </w:rPr>
      </w:pPr>
      <w:r w:rsidRPr="009E7F86">
        <w:rPr>
          <w:rFonts w:eastAsia="游明朝"/>
          <w:b/>
          <w:sz w:val="22"/>
          <w:szCs w:val="22"/>
        </w:rPr>
        <w:t xml:space="preserve">Periodicity and offset of </w:t>
      </w:r>
      <w:r>
        <w:rPr>
          <w:rFonts w:eastAsia="游明朝"/>
          <w:b/>
          <w:sz w:val="22"/>
          <w:szCs w:val="22"/>
        </w:rPr>
        <w:t xml:space="preserve">the </w:t>
      </w:r>
      <w:r w:rsidRPr="009E7F86">
        <w:rPr>
          <w:rFonts w:eastAsia="游明朝"/>
          <w:b/>
          <w:sz w:val="22"/>
          <w:szCs w:val="22"/>
        </w:rPr>
        <w:t>SMTC window</w:t>
      </w:r>
    </w:p>
    <w:p w14:paraId="6CC70F36" w14:textId="4CD8BAD2" w:rsidR="009E7F86" w:rsidRPr="009E7F86" w:rsidRDefault="009E7F86" w:rsidP="009E7F86">
      <w:pPr>
        <w:pStyle w:val="afc"/>
        <w:numPr>
          <w:ilvl w:val="1"/>
          <w:numId w:val="11"/>
        </w:numPr>
        <w:spacing w:afterLines="50" w:after="120"/>
        <w:ind w:leftChars="0"/>
        <w:jc w:val="both"/>
        <w:rPr>
          <w:rFonts w:eastAsia="游明朝"/>
          <w:b/>
          <w:sz w:val="22"/>
          <w:szCs w:val="22"/>
        </w:rPr>
      </w:pPr>
      <w:r w:rsidRPr="009E7F86">
        <w:rPr>
          <w:rFonts w:eastAsia="游明朝"/>
          <w:b/>
          <w:sz w:val="22"/>
          <w:szCs w:val="22"/>
        </w:rPr>
        <w:t xml:space="preserve">Duration of </w:t>
      </w:r>
      <w:r>
        <w:rPr>
          <w:rFonts w:eastAsia="游明朝"/>
          <w:b/>
          <w:sz w:val="22"/>
          <w:szCs w:val="22"/>
        </w:rPr>
        <w:t xml:space="preserve">the </w:t>
      </w:r>
      <w:r w:rsidRPr="009E7F86">
        <w:rPr>
          <w:rFonts w:eastAsia="游明朝"/>
          <w:b/>
          <w:sz w:val="22"/>
          <w:szCs w:val="22"/>
        </w:rPr>
        <w:t>SMTC window</w:t>
      </w:r>
    </w:p>
    <w:p w14:paraId="2E42CAB2" w14:textId="3A3E5C40" w:rsidR="009E7F86" w:rsidRDefault="009E7F86" w:rsidP="009E7F86">
      <w:pPr>
        <w:pStyle w:val="afc"/>
        <w:numPr>
          <w:ilvl w:val="1"/>
          <w:numId w:val="11"/>
        </w:numPr>
        <w:spacing w:afterLines="50" w:after="120"/>
        <w:ind w:leftChars="0"/>
        <w:jc w:val="both"/>
        <w:rPr>
          <w:rFonts w:eastAsia="游明朝"/>
          <w:b/>
          <w:sz w:val="22"/>
          <w:szCs w:val="22"/>
        </w:rPr>
      </w:pPr>
      <w:r w:rsidRPr="009E7F86">
        <w:rPr>
          <w:rFonts w:eastAsia="游明朝"/>
          <w:b/>
          <w:sz w:val="22"/>
          <w:szCs w:val="22"/>
        </w:rPr>
        <w:t>SSB indices to be measured</w:t>
      </w:r>
      <w:r>
        <w:rPr>
          <w:rFonts w:eastAsia="游明朝"/>
          <w:b/>
          <w:sz w:val="22"/>
          <w:szCs w:val="22"/>
        </w:rPr>
        <w:t xml:space="preserve"> in the SMTC window</w:t>
      </w:r>
    </w:p>
    <w:p w14:paraId="0565E197" w14:textId="687C925F" w:rsidR="009E7F86" w:rsidRPr="009E7F86" w:rsidRDefault="00BB62DE" w:rsidP="009E7F86">
      <w:pPr>
        <w:pStyle w:val="afc"/>
        <w:numPr>
          <w:ilvl w:val="0"/>
          <w:numId w:val="11"/>
        </w:numPr>
        <w:spacing w:afterLines="50" w:after="120"/>
        <w:ind w:leftChars="0"/>
        <w:jc w:val="both"/>
        <w:rPr>
          <w:rFonts w:eastAsia="游明朝"/>
          <w:b/>
          <w:sz w:val="22"/>
          <w:szCs w:val="22"/>
        </w:rPr>
      </w:pPr>
      <w:r>
        <w:rPr>
          <w:rFonts w:eastAsia="游明朝"/>
          <w:b/>
          <w:sz w:val="22"/>
          <w:szCs w:val="22"/>
        </w:rPr>
        <w:t>N is [6] for Rel-16 IAB.</w:t>
      </w:r>
    </w:p>
    <w:p w14:paraId="3A379657" w14:textId="1167A3BD" w:rsidR="00EE78BE" w:rsidRPr="00C85C7F" w:rsidRDefault="00EE78BE" w:rsidP="00C517C8">
      <w:pPr>
        <w:spacing w:afterLines="50" w:after="120"/>
        <w:rPr>
          <w:sz w:val="22"/>
          <w:szCs w:val="22"/>
          <w:lang w:val="en-US"/>
        </w:rPr>
      </w:pPr>
    </w:p>
    <w:p w14:paraId="300736B8" w14:textId="0D8F7E3B" w:rsidR="0000729A" w:rsidRPr="004C1BAE" w:rsidRDefault="00976B50" w:rsidP="00C517C8">
      <w:pPr>
        <w:spacing w:afterLines="50" w:after="120"/>
        <w:rPr>
          <w:sz w:val="22"/>
          <w:szCs w:val="22"/>
        </w:rPr>
      </w:pPr>
      <w:r>
        <w:rPr>
          <w:rFonts w:hint="eastAsia"/>
          <w:sz w:val="22"/>
          <w:szCs w:val="22"/>
        </w:rPr>
        <w:t>Up to two SSB transmission configurations are enough for the IAB-node, while maximum number of SSB reception configurations (</w:t>
      </w:r>
      <w:r>
        <w:rPr>
          <w:sz w:val="22"/>
          <w:szCs w:val="22"/>
        </w:rPr>
        <w:t>SMTC windows</w:t>
      </w:r>
      <w:r>
        <w:rPr>
          <w:rFonts w:hint="eastAsia"/>
          <w:sz w:val="22"/>
          <w:szCs w:val="22"/>
        </w:rPr>
        <w:t>)</w:t>
      </w:r>
      <w:r>
        <w:rPr>
          <w:sz w:val="22"/>
          <w:szCs w:val="22"/>
        </w:rPr>
        <w:t xml:space="preserve"> should be determined based on the trade-off between NW planning effort and overhead/complexity. If the number is too small, </w:t>
      </w:r>
      <w:r w:rsidR="006670E6">
        <w:rPr>
          <w:sz w:val="22"/>
          <w:szCs w:val="22"/>
        </w:rPr>
        <w:t xml:space="preserve">more </w:t>
      </w:r>
      <w:r>
        <w:rPr>
          <w:sz w:val="22"/>
          <w:szCs w:val="22"/>
        </w:rPr>
        <w:t xml:space="preserve">NW planning effort would be </w:t>
      </w:r>
      <w:r w:rsidR="006670E6">
        <w:rPr>
          <w:sz w:val="22"/>
          <w:szCs w:val="22"/>
        </w:rPr>
        <w:t>required</w:t>
      </w:r>
      <w:r>
        <w:rPr>
          <w:sz w:val="22"/>
          <w:szCs w:val="22"/>
        </w:rPr>
        <w:t xml:space="preserve"> to set appropriate SSB transmission/reception configurations to each node. If the number is too large, overhead i.e., scheduling restriction due to SSB transmission/reception </w:t>
      </w:r>
      <w:r w:rsidR="006670E6">
        <w:rPr>
          <w:sz w:val="22"/>
          <w:szCs w:val="22"/>
        </w:rPr>
        <w:t xml:space="preserve">would increase and complexity for IAB-node MT to handle too many SMTCs would also increase. We propose N = [6] as starting point for the discussion. </w:t>
      </w:r>
    </w:p>
    <w:p w14:paraId="154836CC" w14:textId="77777777" w:rsidR="00757345" w:rsidRPr="00976B50" w:rsidRDefault="00757345"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488BA1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F651EE">
        <w:rPr>
          <w:rFonts w:eastAsia="ＭＳ 明朝"/>
          <w:sz w:val="22"/>
          <w:szCs w:val="22"/>
          <w:lang w:val="en-US"/>
        </w:rPr>
        <w:t>the e</w:t>
      </w:r>
      <w:r w:rsidR="00F651EE" w:rsidRPr="00EE78BE">
        <w:rPr>
          <w:rFonts w:eastAsia="ＭＳ 明朝"/>
          <w:sz w:val="22"/>
          <w:szCs w:val="22"/>
          <w:lang w:val="en-US"/>
        </w:rPr>
        <w:t>xtensions of SSBs for inter-IAB-node discovery and measurements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F651EE">
        <w:rPr>
          <w:rFonts w:eastAsia="ＭＳ 明朝"/>
          <w:sz w:val="22"/>
          <w:szCs w:val="22"/>
          <w:lang w:val="en-US"/>
        </w:rPr>
        <w:t>s</w:t>
      </w:r>
      <w:r w:rsidR="00E15F38">
        <w:rPr>
          <w:rFonts w:eastAsia="ＭＳ 明朝" w:hint="eastAsia"/>
          <w:sz w:val="22"/>
          <w:szCs w:val="22"/>
          <w:lang w:val="en-US"/>
        </w:rPr>
        <w:t>.</w:t>
      </w:r>
    </w:p>
    <w:p w14:paraId="3B4F9D86" w14:textId="77777777" w:rsidR="00306300" w:rsidRDefault="00306300" w:rsidP="00306300">
      <w:pPr>
        <w:spacing w:afterLines="50" w:after="120"/>
        <w:rPr>
          <w:b/>
          <w:sz w:val="22"/>
          <w:szCs w:val="22"/>
          <w:lang w:val="en-US"/>
        </w:rPr>
      </w:pPr>
      <w:r w:rsidRPr="00C34166">
        <w:rPr>
          <w:rFonts w:hint="eastAsia"/>
          <w:b/>
          <w:sz w:val="22"/>
          <w:szCs w:val="22"/>
          <w:u w:val="single"/>
          <w:lang w:val="en-US"/>
        </w:rPr>
        <w:t>Observation 1</w:t>
      </w:r>
      <w:r w:rsidRPr="00C34166">
        <w:rPr>
          <w:rFonts w:hint="eastAsia"/>
          <w:b/>
          <w:sz w:val="22"/>
          <w:szCs w:val="22"/>
          <w:lang w:val="en-US"/>
        </w:rPr>
        <w:t>: One of the important principle</w:t>
      </w:r>
      <w:r w:rsidRPr="00C34166">
        <w:rPr>
          <w:b/>
          <w:sz w:val="22"/>
          <w:szCs w:val="22"/>
          <w:lang w:val="en-US"/>
        </w:rPr>
        <w:t>s</w:t>
      </w:r>
      <w:r w:rsidRPr="00C34166">
        <w:rPr>
          <w:rFonts w:hint="eastAsia"/>
          <w:b/>
          <w:sz w:val="22"/>
          <w:szCs w:val="22"/>
          <w:lang w:val="en-US"/>
        </w:rPr>
        <w:t xml:space="preserve"> of Rel-15 SMTC configuration is that target cells/SSBs to be measured in each </w:t>
      </w:r>
      <w:r w:rsidRPr="00C34166">
        <w:rPr>
          <w:b/>
          <w:sz w:val="22"/>
          <w:szCs w:val="22"/>
          <w:lang w:val="en-US"/>
        </w:rPr>
        <w:t xml:space="preserve">occasion </w:t>
      </w:r>
      <w:r w:rsidRPr="00C34166">
        <w:rPr>
          <w:rFonts w:hint="eastAsia"/>
          <w:b/>
          <w:sz w:val="22"/>
          <w:szCs w:val="22"/>
          <w:lang w:val="en-US"/>
        </w:rPr>
        <w:t>of periodic window</w:t>
      </w:r>
      <w:r w:rsidRPr="00C34166">
        <w:rPr>
          <w:b/>
          <w:sz w:val="22"/>
          <w:szCs w:val="22"/>
          <w:lang w:val="en-US"/>
        </w:rPr>
        <w:t xml:space="preserve"> are not changed, and hence Rel-15 specification supports up to two SMTC configurations for intra-frequency measurement per carrier.</w:t>
      </w:r>
    </w:p>
    <w:p w14:paraId="785AF485" w14:textId="77777777" w:rsidR="00306300" w:rsidRPr="00306300" w:rsidRDefault="00306300" w:rsidP="00306300">
      <w:pPr>
        <w:pStyle w:val="afc"/>
        <w:numPr>
          <w:ilvl w:val="0"/>
          <w:numId w:val="12"/>
        </w:numPr>
        <w:spacing w:afterLines="50" w:after="120"/>
        <w:ind w:leftChars="0"/>
        <w:rPr>
          <w:b/>
          <w:sz w:val="22"/>
          <w:szCs w:val="22"/>
          <w:lang w:val="en-US"/>
        </w:rPr>
      </w:pPr>
      <w:r>
        <w:rPr>
          <w:b/>
          <w:sz w:val="22"/>
          <w:szCs w:val="22"/>
          <w:lang w:val="en-US"/>
        </w:rPr>
        <w:t>Joint configuration approach based on TX configuration with muting pattern and single SMTC approach do not comply with this principle.</w:t>
      </w:r>
    </w:p>
    <w:p w14:paraId="07D793BA" w14:textId="77777777" w:rsidR="00C34166" w:rsidRPr="000B2F07" w:rsidRDefault="00C34166" w:rsidP="00C341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Pr="000B2F07">
        <w:rPr>
          <w:rFonts w:eastAsia="游明朝"/>
          <w:b/>
          <w:sz w:val="22"/>
          <w:szCs w:val="22"/>
        </w:rPr>
        <w:t>An IAB-node DU is configured with at le</w:t>
      </w:r>
      <w:r>
        <w:rPr>
          <w:rFonts w:eastAsia="游明朝"/>
          <w:b/>
          <w:sz w:val="22"/>
          <w:szCs w:val="22"/>
        </w:rPr>
        <w:t>ast one SSB transmission configuration for access UE’s measurement</w:t>
      </w:r>
      <w:r w:rsidRPr="000B2F07">
        <w:rPr>
          <w:rFonts w:eastAsia="游明朝"/>
          <w:b/>
          <w:sz w:val="22"/>
          <w:szCs w:val="22"/>
        </w:rPr>
        <w:t xml:space="preserve">, and can be configured with </w:t>
      </w:r>
      <w:r>
        <w:rPr>
          <w:rFonts w:eastAsia="游明朝"/>
          <w:b/>
          <w:sz w:val="22"/>
          <w:szCs w:val="22"/>
        </w:rPr>
        <w:t>another SSB transmission configuration for inter-IAB-node measurement</w:t>
      </w:r>
      <w:r w:rsidRPr="000B2F07">
        <w:rPr>
          <w:rFonts w:eastAsia="游明朝"/>
          <w:b/>
          <w:sz w:val="22"/>
          <w:szCs w:val="22"/>
        </w:rPr>
        <w:t>.</w:t>
      </w:r>
    </w:p>
    <w:p w14:paraId="744AF180" w14:textId="77777777" w:rsidR="00C34166" w:rsidRDefault="00C34166" w:rsidP="00C34166">
      <w:pPr>
        <w:pStyle w:val="afc"/>
        <w:numPr>
          <w:ilvl w:val="0"/>
          <w:numId w:val="11"/>
        </w:numPr>
        <w:spacing w:afterLines="50" w:after="120"/>
        <w:ind w:leftChars="0"/>
        <w:jc w:val="both"/>
        <w:rPr>
          <w:rFonts w:eastAsia="游明朝"/>
          <w:b/>
          <w:sz w:val="22"/>
          <w:szCs w:val="22"/>
        </w:rPr>
      </w:pPr>
      <w:r w:rsidRPr="000B2F07">
        <w:rPr>
          <w:rFonts w:eastAsia="游明朝"/>
          <w:b/>
          <w:sz w:val="22"/>
          <w:szCs w:val="22"/>
        </w:rPr>
        <w:t xml:space="preserve">In case that IAB-node DU is configured with two SSB transmission </w:t>
      </w:r>
      <w:r>
        <w:rPr>
          <w:rFonts w:eastAsia="游明朝"/>
          <w:b/>
          <w:sz w:val="22"/>
          <w:szCs w:val="22"/>
        </w:rPr>
        <w:t>configuration</w:t>
      </w:r>
      <w:r w:rsidRPr="000B2F07">
        <w:rPr>
          <w:rFonts w:eastAsia="游明朝"/>
          <w:b/>
          <w:sz w:val="22"/>
          <w:szCs w:val="22"/>
        </w:rPr>
        <w:t>s, at least following para</w:t>
      </w:r>
      <w:r>
        <w:rPr>
          <w:rFonts w:eastAsia="游明朝"/>
          <w:b/>
          <w:sz w:val="22"/>
          <w:szCs w:val="22"/>
        </w:rPr>
        <w:t>meters are separately provided</w:t>
      </w:r>
      <w:r w:rsidRPr="000B2F07">
        <w:rPr>
          <w:rFonts w:eastAsia="游明朝"/>
          <w:b/>
          <w:sz w:val="22"/>
          <w:szCs w:val="22"/>
        </w:rPr>
        <w:t xml:space="preserve"> for each</w:t>
      </w:r>
      <w:r>
        <w:rPr>
          <w:rFonts w:eastAsia="游明朝"/>
          <w:b/>
          <w:sz w:val="22"/>
          <w:szCs w:val="22"/>
        </w:rPr>
        <w:t xml:space="preserve"> transmission configuration</w:t>
      </w:r>
      <w:r w:rsidRPr="000B2F07">
        <w:rPr>
          <w:rFonts w:eastAsia="游明朝"/>
          <w:b/>
          <w:sz w:val="22"/>
          <w:szCs w:val="22"/>
        </w:rPr>
        <w:t>.</w:t>
      </w:r>
    </w:p>
    <w:p w14:paraId="7A1FBEC5" w14:textId="77777777" w:rsidR="00C34166" w:rsidRPr="009E7F86" w:rsidRDefault="00C34166" w:rsidP="00C34166">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frequency</w:t>
      </w:r>
    </w:p>
    <w:p w14:paraId="2EE694C3" w14:textId="77777777" w:rsidR="00C34166" w:rsidRDefault="00C34166" w:rsidP="00C34166">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Periodicity and offset</w:t>
      </w:r>
    </w:p>
    <w:p w14:paraId="5EE5C6CB" w14:textId="77777777" w:rsidR="00C34166" w:rsidRDefault="00C34166" w:rsidP="00C34166">
      <w:pPr>
        <w:pStyle w:val="afc"/>
        <w:numPr>
          <w:ilvl w:val="2"/>
          <w:numId w:val="11"/>
        </w:numPr>
        <w:spacing w:afterLines="50" w:after="120"/>
        <w:ind w:leftChars="0"/>
        <w:jc w:val="both"/>
        <w:rPr>
          <w:rFonts w:eastAsia="游明朝"/>
          <w:b/>
          <w:sz w:val="22"/>
          <w:szCs w:val="22"/>
        </w:rPr>
      </w:pPr>
      <w:r>
        <w:rPr>
          <w:rFonts w:eastAsia="游明朝"/>
          <w:b/>
          <w:sz w:val="22"/>
          <w:szCs w:val="22"/>
        </w:rPr>
        <w:t>In SSB transmission configuration for inter-IAB-node measurement, potentially candidate periodicity value(s) longer than 160ms may be included</w:t>
      </w:r>
    </w:p>
    <w:p w14:paraId="30083E4D" w14:textId="77777777" w:rsidR="00C34166" w:rsidRDefault="00C34166" w:rsidP="00C34166">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indices to be transmitted</w:t>
      </w:r>
    </w:p>
    <w:p w14:paraId="474AE0AC" w14:textId="77777777" w:rsidR="00C34166" w:rsidRDefault="00C34166" w:rsidP="00C34166">
      <w:pPr>
        <w:spacing w:afterLines="50" w:after="120"/>
        <w:jc w:val="both"/>
        <w:rPr>
          <w:rFonts w:eastAsia="游明朝"/>
          <w:b/>
          <w:sz w:val="22"/>
          <w:szCs w:val="22"/>
        </w:rPr>
      </w:pPr>
      <w:r w:rsidRPr="00F651EE">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sidRPr="00F651EE">
        <w:rPr>
          <w:rFonts w:eastAsia="游明朝" w:hint="eastAsia"/>
          <w:b/>
          <w:sz w:val="22"/>
          <w:szCs w:val="22"/>
        </w:rPr>
        <w:t xml:space="preserve">: </w:t>
      </w:r>
      <w:r>
        <w:rPr>
          <w:rFonts w:eastAsia="游明朝"/>
          <w:b/>
          <w:sz w:val="22"/>
          <w:szCs w:val="22"/>
        </w:rPr>
        <w:t>An IAB node reports the number of SSB transmissions (i.e., number of beams for SSB transmission) to its parent IAB-node/donor or CU.</w:t>
      </w:r>
    </w:p>
    <w:p w14:paraId="1E99F204" w14:textId="77777777" w:rsidR="00C34166" w:rsidRDefault="00C34166" w:rsidP="00C341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An IAB-node MT</w:t>
      </w:r>
      <w:r w:rsidRPr="000B2F07">
        <w:rPr>
          <w:rFonts w:eastAsia="游明朝"/>
          <w:b/>
          <w:sz w:val="22"/>
          <w:szCs w:val="22"/>
        </w:rPr>
        <w:t xml:space="preserve"> is c</w:t>
      </w:r>
      <w:r>
        <w:rPr>
          <w:rFonts w:eastAsia="游明朝"/>
          <w:b/>
          <w:sz w:val="22"/>
          <w:szCs w:val="22"/>
        </w:rPr>
        <w:t>onfigured with up to N SSB reception configurations, i.e., up to N periodic SMTC windows, for inter-IAB-node measurement</w:t>
      </w:r>
      <w:r w:rsidRPr="000B2F07">
        <w:rPr>
          <w:rFonts w:eastAsia="游明朝"/>
          <w:b/>
          <w:sz w:val="22"/>
          <w:szCs w:val="22"/>
        </w:rPr>
        <w:t>.</w:t>
      </w:r>
    </w:p>
    <w:p w14:paraId="12E63A87" w14:textId="77777777" w:rsidR="00C34166" w:rsidRDefault="00C34166" w:rsidP="00C34166">
      <w:pPr>
        <w:pStyle w:val="afc"/>
        <w:numPr>
          <w:ilvl w:val="0"/>
          <w:numId w:val="11"/>
        </w:numPr>
        <w:spacing w:afterLines="50" w:after="120"/>
        <w:ind w:leftChars="0"/>
        <w:jc w:val="both"/>
        <w:rPr>
          <w:rFonts w:eastAsia="游明朝"/>
          <w:b/>
          <w:sz w:val="22"/>
          <w:szCs w:val="22"/>
        </w:rPr>
      </w:pPr>
      <w:r>
        <w:rPr>
          <w:rFonts w:eastAsia="游明朝"/>
          <w:b/>
          <w:sz w:val="22"/>
          <w:szCs w:val="22"/>
        </w:rPr>
        <w:t>A</w:t>
      </w:r>
      <w:r w:rsidRPr="000B2F07">
        <w:rPr>
          <w:rFonts w:eastAsia="游明朝"/>
          <w:b/>
          <w:sz w:val="22"/>
          <w:szCs w:val="22"/>
        </w:rPr>
        <w:t>t least following para</w:t>
      </w:r>
      <w:r>
        <w:rPr>
          <w:rFonts w:eastAsia="游明朝"/>
          <w:b/>
          <w:sz w:val="22"/>
          <w:szCs w:val="22"/>
        </w:rPr>
        <w:t>meters are separately provided for each reception configuration.</w:t>
      </w:r>
    </w:p>
    <w:p w14:paraId="256013ED" w14:textId="77777777" w:rsidR="00C34166" w:rsidRPr="009E7F86" w:rsidRDefault="00C34166" w:rsidP="00C34166">
      <w:pPr>
        <w:pStyle w:val="afc"/>
        <w:numPr>
          <w:ilvl w:val="1"/>
          <w:numId w:val="11"/>
        </w:numPr>
        <w:spacing w:afterLines="50" w:after="120"/>
        <w:ind w:leftChars="0"/>
        <w:jc w:val="both"/>
        <w:rPr>
          <w:rFonts w:eastAsia="游明朝"/>
          <w:b/>
          <w:sz w:val="22"/>
          <w:szCs w:val="22"/>
        </w:rPr>
      </w:pPr>
      <w:r w:rsidRPr="009E7F86">
        <w:rPr>
          <w:rFonts w:eastAsia="游明朝"/>
          <w:b/>
          <w:sz w:val="22"/>
          <w:szCs w:val="22"/>
        </w:rPr>
        <w:t xml:space="preserve">Periodicity and offset of </w:t>
      </w:r>
      <w:r>
        <w:rPr>
          <w:rFonts w:eastAsia="游明朝"/>
          <w:b/>
          <w:sz w:val="22"/>
          <w:szCs w:val="22"/>
        </w:rPr>
        <w:t xml:space="preserve">the </w:t>
      </w:r>
      <w:r w:rsidRPr="009E7F86">
        <w:rPr>
          <w:rFonts w:eastAsia="游明朝"/>
          <w:b/>
          <w:sz w:val="22"/>
          <w:szCs w:val="22"/>
        </w:rPr>
        <w:t>SMTC window</w:t>
      </w:r>
    </w:p>
    <w:p w14:paraId="71E93E7D" w14:textId="77777777" w:rsidR="00C34166" w:rsidRPr="009E7F86" w:rsidRDefault="00C34166" w:rsidP="00C34166">
      <w:pPr>
        <w:pStyle w:val="afc"/>
        <w:numPr>
          <w:ilvl w:val="1"/>
          <w:numId w:val="11"/>
        </w:numPr>
        <w:spacing w:afterLines="50" w:after="120"/>
        <w:ind w:leftChars="0"/>
        <w:jc w:val="both"/>
        <w:rPr>
          <w:rFonts w:eastAsia="游明朝"/>
          <w:b/>
          <w:sz w:val="22"/>
          <w:szCs w:val="22"/>
        </w:rPr>
      </w:pPr>
      <w:r w:rsidRPr="009E7F86">
        <w:rPr>
          <w:rFonts w:eastAsia="游明朝"/>
          <w:b/>
          <w:sz w:val="22"/>
          <w:szCs w:val="22"/>
        </w:rPr>
        <w:t xml:space="preserve">Duration of </w:t>
      </w:r>
      <w:r>
        <w:rPr>
          <w:rFonts w:eastAsia="游明朝"/>
          <w:b/>
          <w:sz w:val="22"/>
          <w:szCs w:val="22"/>
        </w:rPr>
        <w:t xml:space="preserve">the </w:t>
      </w:r>
      <w:r w:rsidRPr="009E7F86">
        <w:rPr>
          <w:rFonts w:eastAsia="游明朝"/>
          <w:b/>
          <w:sz w:val="22"/>
          <w:szCs w:val="22"/>
        </w:rPr>
        <w:t>SMTC window</w:t>
      </w:r>
    </w:p>
    <w:p w14:paraId="1C0F47FC" w14:textId="77777777" w:rsidR="00C34166" w:rsidRDefault="00C34166" w:rsidP="00C34166">
      <w:pPr>
        <w:pStyle w:val="afc"/>
        <w:numPr>
          <w:ilvl w:val="1"/>
          <w:numId w:val="11"/>
        </w:numPr>
        <w:spacing w:afterLines="50" w:after="120"/>
        <w:ind w:leftChars="0"/>
        <w:jc w:val="both"/>
        <w:rPr>
          <w:rFonts w:eastAsia="游明朝"/>
          <w:b/>
          <w:sz w:val="22"/>
          <w:szCs w:val="22"/>
        </w:rPr>
      </w:pPr>
      <w:r w:rsidRPr="009E7F86">
        <w:rPr>
          <w:rFonts w:eastAsia="游明朝"/>
          <w:b/>
          <w:sz w:val="22"/>
          <w:szCs w:val="22"/>
        </w:rPr>
        <w:lastRenderedPageBreak/>
        <w:t>SSB indices to be measured</w:t>
      </w:r>
      <w:r>
        <w:rPr>
          <w:rFonts w:eastAsia="游明朝"/>
          <w:b/>
          <w:sz w:val="22"/>
          <w:szCs w:val="22"/>
        </w:rPr>
        <w:t xml:space="preserve"> in the SMTC window</w:t>
      </w:r>
    </w:p>
    <w:p w14:paraId="11494AB8" w14:textId="77777777" w:rsidR="00C34166" w:rsidRPr="009E7F86" w:rsidRDefault="00C34166" w:rsidP="00C34166">
      <w:pPr>
        <w:pStyle w:val="afc"/>
        <w:numPr>
          <w:ilvl w:val="0"/>
          <w:numId w:val="11"/>
        </w:numPr>
        <w:spacing w:afterLines="50" w:after="120"/>
        <w:ind w:leftChars="0"/>
        <w:jc w:val="both"/>
        <w:rPr>
          <w:rFonts w:eastAsia="游明朝"/>
          <w:b/>
          <w:sz w:val="22"/>
          <w:szCs w:val="22"/>
        </w:rPr>
      </w:pPr>
      <w:r>
        <w:rPr>
          <w:rFonts w:eastAsia="游明朝"/>
          <w:b/>
          <w:sz w:val="22"/>
          <w:szCs w:val="22"/>
        </w:rPr>
        <w:t>N is [6] for Rel-16 IAB.</w:t>
      </w:r>
    </w:p>
    <w:p w14:paraId="78761C00" w14:textId="77777777" w:rsidR="00F624AE" w:rsidRPr="00C34166"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AFD817" w14:textId="77777777" w:rsidR="00262553" w:rsidRDefault="00262553" w:rsidP="0026255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 NR-</w:t>
      </w:r>
      <w:proofErr w:type="spellStart"/>
      <w:r>
        <w:rPr>
          <w:rFonts w:eastAsia="ＭＳ 明朝"/>
          <w:sz w:val="22"/>
        </w:rPr>
        <w:t>Adhoc</w:t>
      </w:r>
      <w:proofErr w:type="spellEnd"/>
      <w:r>
        <w:rPr>
          <w:rFonts w:eastAsia="ＭＳ 明朝"/>
          <w:sz w:val="22"/>
        </w:rPr>
        <w:t xml:space="preserve"> #1901, </w:t>
      </w:r>
      <w:r w:rsidRPr="00D21CF6">
        <w:rPr>
          <w:rFonts w:eastAsia="ＭＳ 明朝"/>
          <w:sz w:val="22"/>
        </w:rPr>
        <w:t>RAN1 Chairman’s Notes</w:t>
      </w:r>
      <w:r>
        <w:rPr>
          <w:rFonts w:eastAsia="ＭＳ 明朝"/>
          <w:sz w:val="22"/>
        </w:rPr>
        <w:t>, Jan. 2019.</w:t>
      </w:r>
    </w:p>
    <w:p w14:paraId="7822518B" w14:textId="0C606CBB"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p>
    <w:p w14:paraId="6A37EA2B" w14:textId="041439CF" w:rsidR="00D56671" w:rsidRDefault="005E48CB" w:rsidP="005E48CB">
      <w:pPr>
        <w:pStyle w:val="afc"/>
        <w:numPr>
          <w:ilvl w:val="0"/>
          <w:numId w:val="4"/>
        </w:numPr>
        <w:spacing w:afterLines="50" w:after="120"/>
        <w:ind w:leftChars="0"/>
        <w:jc w:val="both"/>
        <w:rPr>
          <w:rFonts w:eastAsia="ＭＳ 明朝"/>
          <w:sz w:val="22"/>
        </w:rPr>
      </w:pPr>
      <w:r>
        <w:rPr>
          <w:rFonts w:eastAsia="ＭＳ 明朝"/>
          <w:sz w:val="22"/>
        </w:rPr>
        <w:t>3GPP, R1-1901369</w:t>
      </w:r>
      <w:r w:rsidR="00D56671">
        <w:rPr>
          <w:rFonts w:eastAsia="ＭＳ 明朝"/>
          <w:sz w:val="22"/>
        </w:rPr>
        <w:t>, Qualcomm, “</w:t>
      </w:r>
      <w:r w:rsidRPr="005E48CB">
        <w:rPr>
          <w:rFonts w:eastAsia="ＭＳ 明朝"/>
          <w:sz w:val="22"/>
        </w:rPr>
        <w:t>Summary of section 7.2.3.2 – SSB extensions for IAB</w:t>
      </w:r>
      <w:r>
        <w:rPr>
          <w:rFonts w:eastAsia="ＭＳ 明朝"/>
          <w:sz w:val="22"/>
        </w:rPr>
        <w:t>,” Jan. 2019</w:t>
      </w:r>
      <w:r w:rsidR="00D56671">
        <w:rPr>
          <w:rFonts w:eastAsia="ＭＳ 明朝"/>
          <w:sz w:val="22"/>
        </w:rPr>
        <w:t>.</w:t>
      </w:r>
    </w:p>
    <w:sectPr w:rsidR="00D5667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FB12E" w14:textId="77777777" w:rsidR="00874ED7" w:rsidRDefault="00874ED7">
      <w:r>
        <w:separator/>
      </w:r>
    </w:p>
  </w:endnote>
  <w:endnote w:type="continuationSeparator" w:id="0">
    <w:p w14:paraId="6F0CE7C1" w14:textId="77777777" w:rsidR="00874ED7" w:rsidRDefault="00874ED7">
      <w:r>
        <w:continuationSeparator/>
      </w:r>
    </w:p>
  </w:endnote>
  <w:endnote w:type="continuationNotice" w:id="1">
    <w:p w14:paraId="3E92E397" w14:textId="77777777" w:rsidR="00874ED7" w:rsidRDefault="00874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FBFDE36"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52933">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52933">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CEB3B" w14:textId="77777777" w:rsidR="00874ED7" w:rsidRDefault="00874ED7">
      <w:r>
        <w:separator/>
      </w:r>
    </w:p>
  </w:footnote>
  <w:footnote w:type="continuationSeparator" w:id="0">
    <w:p w14:paraId="4E5B15BC" w14:textId="77777777" w:rsidR="00874ED7" w:rsidRDefault="00874ED7">
      <w:r>
        <w:continuationSeparator/>
      </w:r>
    </w:p>
  </w:footnote>
  <w:footnote w:type="continuationNotice" w:id="1">
    <w:p w14:paraId="7DA8697B" w14:textId="77777777" w:rsidR="00874ED7" w:rsidRDefault="00874E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303CC0"/>
    <w:multiLevelType w:val="hybridMultilevel"/>
    <w:tmpl w:val="999ECB5E"/>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9C7B9B"/>
    <w:multiLevelType w:val="hybridMultilevel"/>
    <w:tmpl w:val="694C1ED4"/>
    <w:lvl w:ilvl="0" w:tplc="12FCC98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3C28C7"/>
    <w:multiLevelType w:val="hybridMultilevel"/>
    <w:tmpl w:val="FA226CA4"/>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5"/>
  </w:num>
  <w:num w:numId="4">
    <w:abstractNumId w:val="4"/>
  </w:num>
  <w:num w:numId="5">
    <w:abstractNumId w:val="10"/>
  </w:num>
  <w:num w:numId="6">
    <w:abstractNumId w:val="6"/>
  </w:num>
  <w:num w:numId="7">
    <w:abstractNumId w:val="9"/>
  </w:num>
  <w:num w:numId="8">
    <w:abstractNumId w:val="7"/>
  </w:num>
  <w:num w:numId="9">
    <w:abstractNumId w:val="3"/>
  </w:num>
  <w:num w:numId="10">
    <w:abstractNumId w:val="1"/>
  </w:num>
  <w:num w:numId="11">
    <w:abstractNumId w:val="11"/>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29A"/>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2F07"/>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611"/>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835"/>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553"/>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0A0"/>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3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2C5"/>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DDB"/>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CB"/>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A1"/>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0E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2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D7"/>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7F"/>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50"/>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E7F86"/>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2DE"/>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166"/>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933"/>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7F"/>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093"/>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6"/>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D659B-38FC-4DF4-A126-15CC8727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2010</Words>
  <Characters>11461</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2019-02-15T06:07:00Z</dcterms:created>
  <dcterms:modified xsi:type="dcterms:W3CDTF">2019-02-15T06:20:00Z</dcterms:modified>
</cp:coreProperties>
</file>